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28</w:t>
      </w:r>
      <w:r>
        <w:rPr>
          <w:b/>
        </w:rPr>
        <w:tab/>
      </w:r>
      <w:r>
        <w:rPr>
          <w:rFonts w:hint="eastAsia"/>
          <w:b/>
        </w:rPr>
        <w:t>R2-2410331</w:t>
      </w:r>
    </w:p>
    <w:p>
      <w:pPr>
        <w:pStyle w:val="56"/>
        <w:jc w:val="left"/>
        <w:rPr>
          <w:rFonts w:hint="eastAsia" w:cs="Arial"/>
          <w:sz w:val="20"/>
        </w:rPr>
      </w:pPr>
      <w:r>
        <w:rPr>
          <w:rFonts w:hint="eastAsia" w:cs="Arial"/>
          <w:sz w:val="20"/>
        </w:rPr>
        <w:t>Orlando, USA, Nov</w:t>
      </w:r>
      <w:r>
        <w:rPr>
          <w:rFonts w:hint="eastAsia" w:eastAsia="宋体" w:cs="Arial"/>
          <w:sz w:val="20"/>
          <w:lang w:val="en-US" w:eastAsia="zh-CN"/>
        </w:rPr>
        <w:t xml:space="preserve">. </w:t>
      </w:r>
      <w:r>
        <w:rPr>
          <w:rFonts w:hint="eastAsia" w:cs="Arial"/>
          <w:sz w:val="20"/>
        </w:rPr>
        <w:t>18</w:t>
      </w:r>
      <w:r>
        <w:rPr>
          <w:rFonts w:hint="eastAsia" w:cs="Arial"/>
          <w:sz w:val="20"/>
          <w:vertAlign w:val="superscript"/>
        </w:rPr>
        <w:t>th</w:t>
      </w:r>
      <w:r>
        <w:rPr>
          <w:rFonts w:hint="eastAsia" w:cs="Arial"/>
          <w:sz w:val="20"/>
        </w:rPr>
        <w:t xml:space="preserve"> – 22</w:t>
      </w:r>
      <w:r>
        <w:rPr>
          <w:rFonts w:hint="eastAsia" w:cs="Arial"/>
          <w:sz w:val="20"/>
          <w:vertAlign w:val="superscript"/>
        </w:rPr>
        <w:t>nd</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on </w:t>
      </w:r>
      <w:r>
        <w:rPr>
          <w:rFonts w:hint="eastAsia" w:cs="Arial" w:eastAsiaTheme="minorEastAsia"/>
          <w:sz w:val="20"/>
          <w:lang w:val="en-US" w:eastAsia="zh-CN"/>
        </w:rPr>
        <w:t>broadcast service for NR 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rPr>
          <w:lang w:val="en-US" w:eastAsia="ko-KR"/>
        </w:rPr>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broadcast</w:t>
      </w:r>
      <w:r>
        <w:rPr>
          <w:rFonts w:cs="Arial"/>
        </w:rPr>
        <w:t xml:space="preserve"> </w:t>
      </w:r>
      <w:r>
        <w:rPr>
          <w:rFonts w:hint="eastAsia" w:eastAsia="宋体" w:cs="Arial"/>
          <w:lang w:val="en-US" w:eastAsia="zh-CN"/>
        </w:rPr>
        <w:t xml:space="preserve">service </w:t>
      </w:r>
      <w:r>
        <w:rPr>
          <w:rFonts w:cs="Arial"/>
        </w:rPr>
        <w:t xml:space="preserve">for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4"/>
        <w:bidi w:val="0"/>
        <w:rPr>
          <w:rFonts w:hint="eastAsia"/>
          <w:b/>
          <w:bCs/>
          <w:lang w:val="en-US" w:eastAsia="zh-CN"/>
        </w:rPr>
      </w:pPr>
      <w:r>
        <w:rPr>
          <w:rFonts w:hint="eastAsia"/>
          <w:b/>
          <w:bCs/>
          <w:lang w:val="en-US" w:eastAsia="zh-CN"/>
        </w:rPr>
        <w:t xml:space="preserve"> Intended service areas (and related IDs) provision</w:t>
      </w:r>
    </w:p>
    <w:p>
      <w:pPr>
        <w:pStyle w:val="60"/>
        <w:numPr>
          <w:ilvl w:val="0"/>
          <w:numId w:val="0"/>
        </w:numPr>
        <w:spacing w:after="0"/>
        <w:rPr>
          <w:rFonts w:hint="eastAsia" w:eastAsia="宋体"/>
          <w:b w:val="0"/>
          <w:bCs w:val="0"/>
          <w:iCs/>
          <w:lang w:val="en-US" w:eastAsia="zh-CN"/>
        </w:rPr>
      </w:pPr>
      <w:r>
        <w:rPr>
          <w:rFonts w:hint="eastAsia" w:eastAsia="宋体"/>
          <w:b w:val="0"/>
          <w:bCs w:val="0"/>
          <w:iCs/>
          <w:lang w:val="en-US" w:eastAsia="zh-CN"/>
        </w:rPr>
        <w:t xml:space="preserve">In last meeting, we agreed to include one more intended service area IDs into MCCH. However, the specific provision solution of intended service areas with corresponding area IDs is FFS. And alternatives are MCCH and a new or existing SIB. </w:t>
      </w:r>
    </w:p>
    <w:p>
      <w:pPr>
        <w:pStyle w:val="60"/>
        <w:numPr>
          <w:ilvl w:val="0"/>
          <w:numId w:val="0"/>
        </w:numPr>
        <w:spacing w:after="0"/>
        <w:rPr>
          <w:rFonts w:hint="eastAsia" w:eastAsia="宋体"/>
          <w:lang w:val="en-US" w:eastAsia="zh-CN"/>
        </w:rPr>
      </w:pPr>
      <w:r>
        <w:rPr>
          <w:rFonts w:hint="eastAsia" w:eastAsia="宋体"/>
          <w:b w:val="0"/>
          <w:bCs w:val="0"/>
          <w:iCs/>
          <w:lang w:val="en-US" w:eastAsia="zh-CN"/>
        </w:rPr>
        <w:t xml:space="preserve">As companies comments, the remaining size of existing SIB is insufficient to include the intended service areas information. Then the MCCH has no size limitation, which already carries the </w:t>
      </w:r>
      <w:r>
        <w:rPr>
          <w:rFonts w:hint="eastAsia" w:eastAsia="宋体"/>
          <w:b w:val="0"/>
          <w:bCs w:val="0"/>
          <w:i/>
          <w:iCs w:val="0"/>
          <w:lang w:val="en-US" w:eastAsia="zh-CN"/>
        </w:rPr>
        <w:t xml:space="preserve">MBSBroadcastConfiguration </w:t>
      </w:r>
      <w:r>
        <w:rPr>
          <w:rFonts w:hint="eastAsia" w:eastAsia="宋体"/>
          <w:b w:val="0"/>
          <w:bCs w:val="0"/>
          <w:iCs/>
          <w:lang w:val="en-US" w:eastAsia="zh-CN"/>
        </w:rPr>
        <w:t>message which indicates the MBS broadcast sessions that are provided in the cell as well as the corresponding scheduling related information for these sessions. Further</w:t>
      </w:r>
      <w:r>
        <w:rPr>
          <w:rFonts w:hint="eastAsia" w:eastAsia="宋体"/>
          <w:lang w:val="en-US" w:eastAsia="zh-CN"/>
        </w:rPr>
        <w:t xml:space="preserve">, using </w:t>
      </w:r>
      <w:r>
        <w:rPr>
          <w:rFonts w:hint="eastAsia" w:eastAsia="宋体"/>
          <w:b w:val="0"/>
          <w:bCs w:val="0"/>
          <w:i/>
          <w:iCs w:val="0"/>
          <w:lang w:val="en-US" w:eastAsia="zh-CN"/>
        </w:rPr>
        <w:t>MBSBroadcastConfiguration</w:t>
      </w:r>
      <w:r>
        <w:rPr>
          <w:rFonts w:hint="eastAsia" w:eastAsia="宋体"/>
          <w:lang w:val="en-US" w:eastAsia="zh-CN"/>
        </w:rPr>
        <w:t xml:space="preserve"> could provide both service area information and association between service area and MBS session. Specifically, include association (e.g. one to one, one to multiple, multiple to one) between intended service area ID and MBS session ID. And a new SIB should be considered last, unless the MCCH based solution is determined unworkable.</w:t>
      </w:r>
    </w:p>
    <w:p>
      <w:pPr>
        <w:pStyle w:val="60"/>
        <w:numPr>
          <w:ilvl w:val="0"/>
          <w:numId w:val="0"/>
        </w:numPr>
        <w:spacing w:after="0"/>
        <w:rPr>
          <w:rFonts w:hint="eastAsia" w:eastAsia="宋体"/>
          <w:b/>
          <w:bCs/>
          <w:lang w:val="en-US" w:eastAsia="zh-CN"/>
        </w:rPr>
      </w:pPr>
      <w:r>
        <w:rPr>
          <w:rFonts w:hint="eastAsia" w:eastAsia="宋体"/>
          <w:b/>
          <w:bCs/>
          <w:lang w:val="en-US" w:eastAsia="zh-CN"/>
        </w:rPr>
        <w:t>Proposal 1: Using MCCH based solution to include the intended service areas (and related IDs) information.</w:t>
      </w:r>
    </w:p>
    <w:p>
      <w:pPr>
        <w:pStyle w:val="60"/>
        <w:numPr>
          <w:ilvl w:val="0"/>
          <w:numId w:val="0"/>
        </w:numPr>
        <w:spacing w:after="0"/>
        <w:rPr>
          <w:rFonts w:hint="eastAsia" w:eastAsia="宋体"/>
          <w:b/>
          <w:bCs/>
          <w:lang w:val="en-US" w:eastAsia="zh-CN"/>
        </w:rPr>
      </w:pPr>
      <w:r>
        <w:rPr>
          <w:rFonts w:hint="eastAsia" w:eastAsia="宋体"/>
          <w:b/>
          <w:bCs/>
          <w:lang w:val="en-US" w:eastAsia="zh-CN"/>
        </w:rPr>
        <w:t>Proposal 2: A new SIB should be considered last, unless the MCCH based solution is determined unworkable.</w:t>
      </w:r>
    </w:p>
    <w:p>
      <w:pPr>
        <w:pStyle w:val="60"/>
        <w:numPr>
          <w:ilvl w:val="0"/>
          <w:numId w:val="0"/>
        </w:numPr>
        <w:spacing w:after="0"/>
        <w:rPr>
          <w:rFonts w:hint="default" w:eastAsia="宋体"/>
          <w:b/>
          <w:bCs/>
          <w:lang w:val="en-US" w:eastAsia="zh-CN"/>
        </w:rPr>
      </w:pPr>
    </w:p>
    <w:p>
      <w:pPr>
        <w:pStyle w:val="60"/>
        <w:numPr>
          <w:ilvl w:val="0"/>
          <w:numId w:val="0"/>
        </w:numPr>
        <w:spacing w:after="0"/>
        <w:rPr>
          <w:rFonts w:hint="default" w:eastAsia="宋体"/>
          <w:lang w:val="en-US" w:eastAsia="zh-CN"/>
        </w:rPr>
      </w:pPr>
      <w:r>
        <w:rPr>
          <w:rFonts w:hint="eastAsia" w:eastAsia="宋体"/>
          <w:lang w:val="en-US" w:eastAsia="zh-CN"/>
        </w:rPr>
        <w:t>Then for the solution to allow UE skipping MCCH re-acquisition when UE is not within intended service area of any interested broadcast service. Per the current TS 38.331, it is up to UE implementation to use the cell/tracking area list in the USD to avoid acquiring the MCCH when the UE is outside the MBS service area of the MBS broadcast service. Similarly, for support broadcast service in NTN, it could be also up to UE implementation to allow UE skipping MCCH re-acquisition when UE is not within intended service area of any interested broadcast service based on the intended service areas provision by network.</w:t>
      </w:r>
    </w:p>
    <w:p>
      <w:pPr>
        <w:pStyle w:val="60"/>
        <w:numPr>
          <w:ilvl w:val="0"/>
          <w:numId w:val="0"/>
        </w:numPr>
        <w:spacing w:after="0"/>
        <w:rPr>
          <w:rFonts w:hint="default" w:eastAsia="宋体"/>
          <w:lang w:val="en-US" w:eastAsia="zh-CN"/>
        </w:rPr>
      </w:pPr>
      <w:r>
        <w:rPr>
          <w:rFonts w:hint="eastAsia" w:eastAsia="宋体"/>
          <w:b/>
          <w:bCs/>
          <w:lang w:val="en-US" w:eastAsia="zh-CN"/>
        </w:rPr>
        <w:t>Proposal 3: It could be also up to UE implementation to allow UE skipping MCCH re-acquisition when UE is not within intended service area of any interested broadcast service based on the intended service areas provision by network.</w:t>
      </w:r>
    </w:p>
    <w:p>
      <w:pPr>
        <w:pStyle w:val="60"/>
        <w:numPr>
          <w:ilvl w:val="0"/>
          <w:numId w:val="0"/>
        </w:numPr>
        <w:spacing w:after="0"/>
        <w:rPr>
          <w:rFonts w:hint="eastAsia" w:eastAsia="宋体"/>
          <w:lang w:val="en-US" w:eastAsia="zh-CN"/>
        </w:rPr>
      </w:pP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MBS service announcement was raised to indicate the intended service area in last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53"/>
            </w:pPr>
            <w:r>
              <w:fldChar w:fldCharType="begin"/>
            </w:r>
            <w:r>
              <w:instrText xml:space="preserve"> HYPERLINK "file:///C:\\Data\\3GPP\\Extracts\\R2-2409184%20-%20Support%20for%20broadcast%20services%20in%20NR%20NTN.docx" \o "C:Data3GPPExtractsR2-2409184 - Support for broadcast services in NR NTN.docx" </w:instrText>
            </w:r>
            <w:r>
              <w:fldChar w:fldCharType="separate"/>
            </w:r>
            <w:r>
              <w:rPr>
                <w:rStyle w:val="50"/>
              </w:rPr>
              <w:t>R2-2409184</w:t>
            </w:r>
            <w:r>
              <w:rPr>
                <w:rStyle w:val="50"/>
              </w:rPr>
              <w:fldChar w:fldCharType="end"/>
            </w:r>
            <w:r>
              <w:tab/>
            </w:r>
            <w:r>
              <w:t>Support for broadcast services in NR NTN</w:t>
            </w:r>
            <w:r>
              <w:tab/>
            </w:r>
            <w:r>
              <w:t>Ericsson</w:t>
            </w:r>
            <w:r>
              <w:tab/>
            </w:r>
            <w:r>
              <w:t>discussion</w:t>
            </w:r>
            <w:r>
              <w:tab/>
            </w:r>
            <w:r>
              <w:t>Rel-19</w:t>
            </w:r>
            <w:r>
              <w:tab/>
            </w:r>
            <w:r>
              <w:t>NR_NTN_Ph3-Core</w:t>
            </w:r>
          </w:p>
          <w:p>
            <w:pPr>
              <w:pStyle w:val="111"/>
            </w:pPr>
            <w:r>
              <w:t>Proposal 1</w:t>
            </w:r>
            <w:r>
              <w:tab/>
            </w:r>
            <w:r>
              <w:t>The intended service area of an MBS broadcast service is not provided in system information. FFS on other broadcast services (e.g., ETWS).</w:t>
            </w:r>
          </w:p>
          <w:p>
            <w:pPr>
              <w:pStyle w:val="111"/>
            </w:pPr>
            <w:r>
              <w:t>Proposal 2</w:t>
            </w:r>
            <w:r>
              <w:tab/>
            </w:r>
            <w:r>
              <w:t>MBS Service Announcement is used to indicate the intended service area for MBS broadcast in NTN cells.</w:t>
            </w:r>
          </w:p>
          <w:p>
            <w:pPr>
              <w:pStyle w:val="54"/>
            </w:pPr>
            <w:r>
              <w:t>-</w:t>
            </w:r>
            <w:r>
              <w:tab/>
            </w:r>
            <w:r>
              <w:t xml:space="preserve">CATT wonders if we can reuse the MBS service announcement as is or if we need to ask SA2 to introduce changes. Ericsson confirms we need to ask SA2 to perform changes. </w:t>
            </w:r>
          </w:p>
          <w:p>
            <w:pPr>
              <w:pStyle w:val="54"/>
            </w:pPr>
            <w:r>
              <w:t>-</w:t>
            </w:r>
            <w:r>
              <w:tab/>
            </w:r>
            <w:r>
              <w:t>LG supports the Ericsson proposal as this would be the cleanest way and thinks we can send an LS to SA2.</w:t>
            </w:r>
          </w:p>
          <w:p>
            <w:pPr>
              <w:pStyle w:val="54"/>
            </w:pPr>
            <w:r>
              <w:t>-</w:t>
            </w:r>
            <w:r>
              <w:tab/>
            </w:r>
            <w:r>
              <w:t>Apple thinks we cannot exclude enhancements in AS layer if the information that SA2 can provide is at cell level.</w:t>
            </w:r>
          </w:p>
          <w:p>
            <w:pPr>
              <w:pStyle w:val="54"/>
            </w:pPr>
            <w:r>
              <w:t>-</w:t>
            </w:r>
            <w:r>
              <w:tab/>
            </w:r>
            <w:r>
              <w:t>Samsung wonders if this would be consistent with the WI objective</w:t>
            </w:r>
          </w:p>
          <w:p>
            <w:pPr>
              <w:pStyle w:val="54"/>
            </w:pPr>
            <w:r>
              <w:t>-</w:t>
            </w:r>
            <w:r>
              <w:tab/>
            </w:r>
            <w:r>
              <w:t>CMCC wonders if SA2 would have time to work on this in Rel-18</w:t>
            </w:r>
          </w:p>
          <w:p>
            <w:pPr>
              <w:pStyle w:val="54"/>
            </w:pPr>
            <w:r>
              <w:t>-</w:t>
            </w:r>
            <w:r>
              <w:tab/>
            </w:r>
            <w:r>
              <w:t>Nokia wonders if the issue is so severe that we cannot solve it in RAN2 and need to involve other groups</w:t>
            </w:r>
          </w:p>
          <w:p>
            <w:pPr>
              <w:pStyle w:val="54"/>
            </w:pPr>
            <w:r>
              <w:t>-</w:t>
            </w:r>
            <w:r>
              <w:tab/>
            </w:r>
            <w:r>
              <w:t>Lenovo thinks it’s not a good idea to go for a NAS solution, and we would still need to address NAS/AS interaction. Oppo agrees</w:t>
            </w:r>
          </w:p>
          <w:p>
            <w:pPr>
              <w:pStyle w:val="54"/>
            </w:pPr>
            <w:r>
              <w:t>-</w:t>
            </w:r>
            <w:r>
              <w:tab/>
            </w:r>
            <w:r>
              <w:t>Thales thinks a NAS solution would probably work but the WID objective is to work on a AS solution.</w:t>
            </w:r>
          </w:p>
          <w:p>
            <w:pPr>
              <w:pStyle w:val="54"/>
            </w:pPr>
            <w:r>
              <w:t>-</w:t>
            </w:r>
            <w:r>
              <w:tab/>
            </w:r>
            <w:r>
              <w:t>Ericsson wonders if we can work on both approaches</w:t>
            </w:r>
          </w:p>
          <w:p>
            <w:pPr>
              <w:pStyle w:val="54"/>
            </w:pPr>
            <w:r>
              <w:t>-</w:t>
            </w:r>
            <w:r>
              <w:tab/>
            </w:r>
            <w:r>
              <w:t>Samsung can accept to send an LS to ask</w:t>
            </w:r>
          </w:p>
          <w:p>
            <w:pPr>
              <w:pStyle w:val="54"/>
              <w:rPr>
                <w:rFonts w:hint="default" w:eastAsiaTheme="minorEastAsia"/>
                <w:b w:val="0"/>
                <w:bCs/>
                <w:vertAlign w:val="baseline"/>
                <w:lang w:val="en-US" w:eastAsia="zh-CN"/>
              </w:rPr>
            </w:pPr>
            <w:r>
              <w:t>-</w:t>
            </w:r>
            <w:r>
              <w:tab/>
            </w:r>
            <w:r>
              <w:t>Apple thinks it’s not clear how we could test the UE behaviour if we only rely on a NAS based solution.</w:t>
            </w:r>
          </w:p>
        </w:tc>
      </w:tr>
    </w:tbl>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From our perspective, providing intended service area via MBS service announcement is not align the WID scope (as shown below) which determines to specify SIB signaling to indicate the intended service area.</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11"/>
              </w:numPr>
              <w:spacing w:after="0" w:line="276" w:lineRule="auto"/>
              <w:rPr>
                <w:rFonts w:hint="default" w:ascii="Arial" w:hAnsi="Arial" w:eastAsia="Malgun Gothic" w:cs="Arial"/>
                <w:lang w:val="en-US" w:eastAsia="ko-KR"/>
              </w:rPr>
            </w:pPr>
            <w:r>
              <w:rPr>
                <w:rFonts w:hint="default" w:ascii="Arial" w:hAnsi="Arial" w:eastAsia="Malgun Gothic" w:cs="Arial"/>
                <w:lang w:val="en-US" w:eastAsia="ko-KR"/>
              </w:rPr>
              <w:t>Specify signaling of the intended service area of a broadcast service (e.g. MBS broadcast) via NR NTN [RAN2, RAN3]</w:t>
            </w:r>
          </w:p>
          <w:p>
            <w:pPr>
              <w:pStyle w:val="109"/>
              <w:widowControl w:val="0"/>
              <w:numPr>
                <w:ilvl w:val="0"/>
                <w:numId w:val="12"/>
              </w:numPr>
              <w:spacing w:after="0"/>
              <w:ind w:hanging="357"/>
              <w:jc w:val="both"/>
              <w:rPr>
                <w:rFonts w:hint="default" w:ascii="Arial" w:hAnsi="Arial" w:cs="Arial"/>
                <w:sz w:val="20"/>
                <w:szCs w:val="20"/>
              </w:rPr>
            </w:pPr>
            <w:r>
              <w:rPr>
                <w:rFonts w:hint="default" w:ascii="Arial" w:hAnsi="Arial" w:cs="Arial"/>
                <w:sz w:val="20"/>
                <w:szCs w:val="20"/>
              </w:rPr>
              <w:t>Specify SIB signaling to indicate the intended service area in case the satellite footprint covers a larger area. [RAN2]</w:t>
            </w:r>
          </w:p>
          <w:p>
            <w:pPr>
              <w:pStyle w:val="109"/>
              <w:widowControl w:val="0"/>
              <w:numPr>
                <w:ilvl w:val="0"/>
                <w:numId w:val="12"/>
              </w:numPr>
              <w:spacing w:after="0"/>
              <w:ind w:hanging="357"/>
              <w:jc w:val="both"/>
              <w:rPr>
                <w:rFonts w:hint="eastAsia" w:eastAsiaTheme="minorEastAsia"/>
                <w:b w:val="0"/>
                <w:bCs/>
                <w:vertAlign w:val="baseline"/>
                <w:lang w:val="en-US" w:eastAsia="zh-CN"/>
              </w:rPr>
            </w:pPr>
            <w:r>
              <w:rPr>
                <w:rFonts w:hint="default" w:ascii="Arial" w:hAnsi="Arial" w:cs="Arial"/>
                <w:sz w:val="20"/>
                <w:szCs w:val="20"/>
              </w:rPr>
              <w:t>Specify the necessary signaling between CN and NG-RAN. [RAN3]</w:t>
            </w:r>
          </w:p>
        </w:tc>
      </w:tr>
    </w:tbl>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And MBS service announcement solution would have impact on SA2, while they only has limited remaining time for R19, which means SA2 is most likely running out of time to discuss and solve the issue. Therefore, MBS service announcement solution should not be pursued in R19.</w:t>
      </w:r>
    </w:p>
    <w:p>
      <w:pPr>
        <w:pStyle w:val="60"/>
        <w:spacing w:after="0"/>
        <w:ind w:left="0" w:firstLine="0"/>
        <w:rPr>
          <w:rFonts w:hint="eastAsia" w:eastAsia="宋体"/>
          <w:lang w:val="en-US" w:eastAsia="zh-CN"/>
        </w:rPr>
      </w:pPr>
      <w:r>
        <w:rPr>
          <w:rFonts w:hint="eastAsia" w:eastAsiaTheme="minorEastAsia"/>
          <w:b/>
          <w:bCs w:val="0"/>
          <w:lang w:val="en-US" w:eastAsia="zh-CN"/>
        </w:rPr>
        <w:t>Proposal 4: Not to pursue the MBS service announcement solution in R19.</w:t>
      </w:r>
    </w:p>
    <w:p>
      <w:pPr>
        <w:pStyle w:val="4"/>
        <w:bidi w:val="0"/>
        <w:rPr>
          <w:rFonts w:hint="eastAsia" w:eastAsia="宋体"/>
          <w:b/>
          <w:bCs/>
          <w:lang w:val="en-US" w:eastAsia="zh-CN"/>
        </w:rPr>
      </w:pPr>
      <w:r>
        <w:rPr>
          <w:rFonts w:hint="eastAsia"/>
          <w:b/>
          <w:bCs/>
          <w:lang w:val="en-US" w:eastAsia="zh-CN"/>
        </w:rPr>
        <w:t xml:space="preserve"> MCCH information update</w:t>
      </w:r>
    </w:p>
    <w:p>
      <w:pPr>
        <w:pStyle w:val="60"/>
        <w:numPr>
          <w:ilvl w:val="0"/>
          <w:numId w:val="0"/>
        </w:numPr>
        <w:spacing w:after="0"/>
        <w:rPr>
          <w:rFonts w:hint="eastAsia" w:eastAsia="宋体"/>
          <w:lang w:val="en-US" w:eastAsia="zh-CN"/>
        </w:rPr>
      </w:pPr>
      <w:r>
        <w:rPr>
          <w:rFonts w:hint="eastAsia" w:eastAsia="宋体"/>
          <w:lang w:val="en-US" w:eastAsia="zh-CN"/>
        </w:rPr>
        <w:t>As in current TS 38.331, the MCCH information validity and notification of changes are defined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bookmarkStart w:id="3" w:name="_Toc171467619"/>
            <w:r>
              <w:rPr>
                <w:lang w:eastAsia="zh-CN"/>
              </w:rPr>
              <w:t>5.9.1.3</w:t>
            </w:r>
            <w:r>
              <w:rPr>
                <w:lang w:eastAsia="zh-CN"/>
              </w:rPr>
              <w:tab/>
            </w:r>
            <w:r>
              <w:rPr>
                <w:lang w:eastAsia="zh-CN"/>
              </w:rPr>
              <w:t>MCCH information validity and notification of changes</w:t>
            </w:r>
            <w:bookmarkEnd w:id="3"/>
          </w:p>
          <w:p>
            <w:pPr>
              <w:rPr>
                <w:lang w:eastAsia="zh-CN"/>
              </w:rPr>
            </w:pPr>
            <w:r>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pPr>
              <w:rPr>
                <w:lang w:eastAsia="zh-CN"/>
              </w:rPr>
            </w:pPr>
            <w:r>
              <w:rPr>
                <w:lang w:eastAsia="zh-CN"/>
              </w:rPr>
              <w:t xml:space="preserve">When the network changes (some of) the MCCH information, it notifies the UEs about the change starting from the beginning of the MCCH modification period via PDCCH </w:t>
            </w:r>
            <w:r>
              <w:t>which schedules the MCCH in every repetition in that modification period</w:t>
            </w:r>
            <w:r>
              <w:rPr>
                <w:lang w:eastAsia="zh-CN"/>
              </w:rPr>
              <w:t>.</w:t>
            </w:r>
          </w:p>
          <w:p>
            <w:pPr>
              <w:spacing w:after="0"/>
              <w:rPr>
                <w:rFonts w:hint="default" w:eastAsia="宋体"/>
                <w:vertAlign w:val="baseline"/>
                <w:lang w:val="en-US" w:eastAsia="zh-CN"/>
              </w:rPr>
            </w:pPr>
            <w:r>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tc>
      </w:tr>
    </w:tbl>
    <w:p>
      <w:pPr>
        <w:pStyle w:val="60"/>
        <w:numPr>
          <w:ilvl w:val="0"/>
          <w:numId w:val="0"/>
        </w:numPr>
        <w:spacing w:after="0"/>
        <w:rPr>
          <w:rFonts w:hint="default" w:eastAsia="宋体"/>
          <w:lang w:val="en-US" w:eastAsia="zh-CN"/>
        </w:rPr>
      </w:pPr>
      <w:r>
        <w:rPr>
          <w:rFonts w:hint="eastAsia" w:eastAsia="宋体"/>
          <w:lang w:val="en-US" w:eastAsia="zh-CN"/>
        </w:rPr>
        <w:t>Then for MCCH update due to service area information changing, in order to reduce impact on RAN1, we could consider to leverage the existing mechanism and just add some clarification to include the service area information changing. Specifically, utilize the LSB in the 2-bit bitmap, and just add description</w:t>
      </w:r>
      <w:r>
        <w:rPr>
          <w:rFonts w:hint="eastAsia"/>
          <w:lang w:val="en-US" w:eastAsia="zh-CN"/>
        </w:rPr>
        <w:t xml:space="preserve"> to include the </w:t>
      </w:r>
      <w:r>
        <w:rPr>
          <w:rFonts w:hint="eastAsia" w:eastAsia="宋体"/>
          <w:lang w:val="en-US" w:eastAsia="zh-CN"/>
        </w:rPr>
        <w:t xml:space="preserve">service area information changing (e.g. service areas modification), in the </w:t>
      </w:r>
      <w:r>
        <w:rPr>
          <w:rFonts w:hint="default" w:eastAsia="宋体"/>
          <w:lang w:val="en-US" w:eastAsia="zh-CN"/>
        </w:rPr>
        <w:t>“</w:t>
      </w:r>
      <w:r>
        <w:rPr>
          <w:lang w:eastAsia="zh-CN"/>
        </w:rPr>
        <w:t>e.g. modification of a configuration of an on-going MBS session(s)</w:t>
      </w:r>
      <w:r>
        <w:rPr>
          <w:rFonts w:hint="eastAsia"/>
          <w:lang w:val="en-US" w:eastAsia="zh-CN"/>
        </w:rPr>
        <w:t>,...</w:t>
      </w:r>
      <w:r>
        <w:rPr>
          <w:rFonts w:hint="default" w:eastAsia="宋体"/>
          <w:lang w:val="en-US" w:eastAsia="zh-CN"/>
        </w:rPr>
        <w:t>”</w:t>
      </w:r>
      <w:r>
        <w:rPr>
          <w:rFonts w:hint="eastAsia" w:eastAsia="宋体"/>
          <w:lang w:val="en-US" w:eastAsia="zh-CN"/>
        </w:rPr>
        <w:t xml:space="preserve"> part.</w:t>
      </w:r>
    </w:p>
    <w:p>
      <w:pPr>
        <w:pStyle w:val="60"/>
        <w:spacing w:after="0"/>
        <w:ind w:left="0" w:firstLine="0"/>
        <w:rPr>
          <w:rFonts w:hint="eastAsia" w:eastAsiaTheme="minorEastAsia"/>
          <w:b/>
          <w:bCs w:val="0"/>
          <w:lang w:val="en-US" w:eastAsia="zh-CN"/>
        </w:rPr>
      </w:pPr>
      <w:r>
        <w:rPr>
          <w:rFonts w:hint="eastAsia" w:eastAsia="宋体"/>
          <w:b/>
          <w:bCs/>
          <w:iCs/>
          <w:lang w:val="en-US" w:eastAsia="zh-CN"/>
        </w:rPr>
        <w:t xml:space="preserve">Proposal 5: For MCCH update due to service area information changing, </w:t>
      </w:r>
      <w:r>
        <w:rPr>
          <w:rFonts w:hint="eastAsia" w:eastAsia="宋体"/>
          <w:b/>
          <w:bCs/>
          <w:lang w:val="en-US" w:eastAsia="zh-CN"/>
        </w:rPr>
        <w:t xml:space="preserve">we could consider to leverage the existing mechanism and just add some clarification under </w:t>
      </w:r>
      <w:r>
        <w:rPr>
          <w:rFonts w:hint="default" w:eastAsia="宋体"/>
          <w:b/>
          <w:bCs/>
          <w:lang w:val="en-US" w:eastAsia="zh-CN"/>
        </w:rPr>
        <w:t>“</w:t>
      </w:r>
      <w:r>
        <w:rPr>
          <w:b/>
          <w:bCs/>
          <w:lang w:eastAsia="zh-CN"/>
        </w:rPr>
        <w:t>The LSB in the 2-bit bitmap</w:t>
      </w:r>
      <w:r>
        <w:rPr>
          <w:rFonts w:hint="default" w:eastAsia="宋体"/>
          <w:b/>
          <w:bCs/>
          <w:lang w:val="en-US" w:eastAsia="zh-CN"/>
        </w:rPr>
        <w:t>”</w:t>
      </w:r>
      <w:r>
        <w:rPr>
          <w:rFonts w:hint="eastAsia" w:eastAsia="宋体"/>
          <w:b/>
          <w:bCs/>
          <w:lang w:val="en-US" w:eastAsia="zh-CN"/>
        </w:rPr>
        <w:t xml:space="preserve"> part to include the service area information changing (e.g. service areas modification).</w:t>
      </w:r>
    </w:p>
    <w:p>
      <w:pPr>
        <w:pStyle w:val="4"/>
        <w:bidi w:val="0"/>
        <w:rPr>
          <w:rFonts w:hint="eastAsia" w:eastAsia="宋体"/>
          <w:b/>
          <w:bCs/>
          <w:iCs/>
          <w:lang w:val="en-US" w:eastAsia="zh-CN"/>
        </w:rPr>
      </w:pPr>
      <w:r>
        <w:rPr>
          <w:rFonts w:hint="eastAsia"/>
          <w:b/>
          <w:bCs/>
          <w:lang w:val="en-US" w:eastAsia="zh-CN"/>
        </w:rPr>
        <w:t xml:space="preserve"> Service continuity</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In last meeting, we have discussed on service continuity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rPr>
                <w:lang w:val="en-US" w:eastAsia="ko-KR"/>
              </w:rPr>
            </w:pPr>
            <w:r>
              <w:rPr>
                <w:lang w:val="en-US" w:eastAsia="ko-KR"/>
              </w:rPr>
              <w:t>Proposal 4: Service continuity can be enhanced in two places by considering intended service area.</w:t>
            </w:r>
          </w:p>
          <w:p>
            <w:pPr>
              <w:pStyle w:val="111"/>
              <w:rPr>
                <w:lang w:val="en-US" w:eastAsia="ko-KR"/>
              </w:rPr>
            </w:pPr>
            <w:r>
              <w:rPr>
                <w:lang w:val="en-US" w:eastAsia="ko-KR"/>
              </w:rPr>
              <w:t>•</w:t>
            </w:r>
            <w:r>
              <w:rPr>
                <w:lang w:val="en-US" w:eastAsia="ko-KR"/>
              </w:rPr>
              <w:tab/>
            </w:r>
            <w:r>
              <w:rPr>
                <w:lang w:val="en-US" w:eastAsia="ko-KR"/>
              </w:rPr>
              <w:t>In MBSBroadcastConfiguration, the intended service area within each neighbor cell is provided for each MBS broadcast service session.</w:t>
            </w:r>
          </w:p>
          <w:p>
            <w:pPr>
              <w:pStyle w:val="111"/>
              <w:rPr>
                <w:lang w:val="en-US" w:eastAsia="ko-KR"/>
              </w:rPr>
            </w:pPr>
            <w:r>
              <w:rPr>
                <w:lang w:val="en-US" w:eastAsia="ko-KR"/>
              </w:rPr>
              <w:t>•</w:t>
            </w:r>
            <w:r>
              <w:rPr>
                <w:lang w:val="en-US" w:eastAsia="ko-KR"/>
              </w:rPr>
              <w:tab/>
            </w:r>
            <w:r>
              <w:rPr>
                <w:lang w:val="en-US" w:eastAsia="ko-KR"/>
              </w:rPr>
              <w:t>In SIB21, the intended service area is provided for each MBS broadcast service session, or for each FSAI (depending on common understanding selected).</w:t>
            </w:r>
          </w:p>
          <w:p>
            <w:pPr>
              <w:pStyle w:val="54"/>
              <w:rPr>
                <w:lang w:val="en-US" w:eastAsia="ko-KR"/>
              </w:rPr>
            </w:pPr>
            <w:r>
              <w:rPr>
                <w:lang w:val="en-US" w:eastAsia="ko-KR"/>
              </w:rPr>
              <w:t>-</w:t>
            </w:r>
            <w:r>
              <w:rPr>
                <w:lang w:val="en-US" w:eastAsia="ko-KR"/>
              </w:rPr>
              <w:tab/>
            </w:r>
            <w:r>
              <w:rPr>
                <w:lang w:val="en-US" w:eastAsia="ko-KR"/>
              </w:rPr>
              <w:t>Ericsson thinks we should focus on the scenario where the quasi-Earth-fixed cell is replaced due to satellite movement</w:t>
            </w:r>
          </w:p>
          <w:p>
            <w:pPr>
              <w:pStyle w:val="54"/>
              <w:rPr>
                <w:lang w:val="en-US" w:eastAsia="ko-KR"/>
              </w:rPr>
            </w:pPr>
            <w:r>
              <w:rPr>
                <w:lang w:val="en-US" w:eastAsia="ko-KR"/>
              </w:rPr>
              <w:t>-</w:t>
            </w:r>
            <w:r>
              <w:rPr>
                <w:lang w:val="en-US" w:eastAsia="ko-KR"/>
              </w:rPr>
              <w:tab/>
            </w:r>
            <w:r>
              <w:rPr>
                <w:lang w:val="en-US" w:eastAsia="ko-KR"/>
              </w:rPr>
              <w:t>ZTE thinks we currently support both and then supports p4</w:t>
            </w:r>
          </w:p>
          <w:p>
            <w:pPr>
              <w:pStyle w:val="54"/>
              <w:rPr>
                <w:lang w:val="en-US" w:eastAsia="ko-KR"/>
              </w:rPr>
            </w:pPr>
            <w:r>
              <w:rPr>
                <w:lang w:val="en-US" w:eastAsia="ko-KR"/>
              </w:rPr>
              <w:t>-</w:t>
            </w:r>
            <w:r>
              <w:rPr>
                <w:lang w:val="en-US" w:eastAsia="ko-KR"/>
              </w:rPr>
              <w:tab/>
            </w:r>
            <w:r>
              <w:rPr>
                <w:lang w:val="en-US" w:eastAsia="ko-KR"/>
              </w:rPr>
              <w:t>QC also thinks both scenarios should be supported.</w:t>
            </w:r>
          </w:p>
          <w:p>
            <w:pPr>
              <w:pStyle w:val="54"/>
              <w:rPr>
                <w:lang w:val="en-US" w:eastAsia="ko-KR"/>
              </w:rPr>
            </w:pPr>
            <w:r>
              <w:rPr>
                <w:lang w:val="en-US" w:eastAsia="ko-KR"/>
              </w:rPr>
              <w:t>-</w:t>
            </w:r>
            <w:r>
              <w:rPr>
                <w:lang w:val="en-US" w:eastAsia="ko-KR"/>
              </w:rPr>
              <w:tab/>
            </w:r>
            <w:r>
              <w:rPr>
                <w:lang w:val="en-US" w:eastAsia="ko-KR"/>
              </w:rPr>
              <w:t>HW thinks this covers the case of UE movement. For the satellite movement there would be no difference wrt previous releases. HW is ok to reflect the second part of p4</w:t>
            </w:r>
          </w:p>
          <w:p>
            <w:pPr>
              <w:pStyle w:val="54"/>
              <w:rPr>
                <w:lang w:val="en-US" w:eastAsia="ko-KR"/>
              </w:rPr>
            </w:pPr>
            <w:r>
              <w:rPr>
                <w:lang w:val="en-US" w:eastAsia="ko-KR"/>
              </w:rPr>
              <w:t>-</w:t>
            </w:r>
            <w:r>
              <w:rPr>
                <w:lang w:val="en-US" w:eastAsia="ko-KR"/>
              </w:rPr>
              <w:tab/>
            </w:r>
            <w:r>
              <w:rPr>
                <w:lang w:val="en-US" w:eastAsia="ko-KR"/>
              </w:rPr>
              <w:t>Ericsson disagrees with the proposal as there is no need for service continuity for this. Apple thinks this is needed for cell reselection.</w:t>
            </w:r>
          </w:p>
          <w:p>
            <w:pPr>
              <w:pStyle w:val="54"/>
              <w:rPr>
                <w:lang w:val="en-US" w:eastAsia="ko-KR"/>
              </w:rPr>
            </w:pPr>
            <w:r>
              <w:rPr>
                <w:lang w:val="en-US" w:eastAsia="ko-KR"/>
              </w:rPr>
              <w:t>-</w:t>
            </w:r>
            <w:r>
              <w:rPr>
                <w:lang w:val="en-US" w:eastAsia="ko-KR"/>
              </w:rPr>
              <w:tab/>
            </w:r>
            <w:r>
              <w:rPr>
                <w:lang w:val="en-US" w:eastAsia="ko-KR"/>
              </w:rPr>
              <w:t>CATT wonders whether we really need to provide the service area for service continuity, in a per neighbour cell way.</w:t>
            </w:r>
          </w:p>
          <w:p>
            <w:pPr>
              <w:pStyle w:val="54"/>
              <w:rPr>
                <w:lang w:val="en-US" w:eastAsia="ko-KR"/>
              </w:rPr>
            </w:pPr>
            <w:r>
              <w:rPr>
                <w:lang w:val="en-US" w:eastAsia="ko-KR"/>
              </w:rPr>
              <w:t>-</w:t>
            </w:r>
            <w:r>
              <w:rPr>
                <w:lang w:val="en-US" w:eastAsia="ko-KR"/>
              </w:rPr>
              <w:tab/>
            </w:r>
            <w:r>
              <w:rPr>
                <w:lang w:val="en-US" w:eastAsia="ko-KR"/>
              </w:rPr>
              <w:t>Ericsson thinks we need to clarify the UE behavior when receiving this information</w:t>
            </w:r>
          </w:p>
          <w:p>
            <w:pPr>
              <w:pStyle w:val="107"/>
              <w:rPr>
                <w:rFonts w:hint="default" w:eastAsiaTheme="minorEastAsia"/>
                <w:b w:val="0"/>
                <w:bCs/>
                <w:vertAlign w:val="baseline"/>
                <w:lang w:val="en-US" w:eastAsia="zh-CN"/>
              </w:rPr>
            </w:pPr>
            <w:r>
              <w:rPr>
                <w:lang w:val="en-US" w:eastAsia="ko-KR"/>
              </w:rPr>
              <w:t>Come back in the next meeting</w:t>
            </w:r>
          </w:p>
        </w:tc>
      </w:tr>
    </w:tbl>
    <w:p>
      <w:pPr>
        <w:pStyle w:val="60"/>
        <w:spacing w:after="0"/>
        <w:ind w:left="0" w:firstLine="0"/>
        <w:rPr>
          <w:rFonts w:hint="eastAsia"/>
          <w:lang w:val="en-US" w:eastAsia="zh-CN"/>
        </w:rPr>
      </w:pPr>
      <w:r>
        <w:rPr>
          <w:rFonts w:hint="eastAsia" w:eastAsiaTheme="minorEastAsia"/>
          <w:b w:val="0"/>
          <w:bCs/>
          <w:lang w:val="en-US" w:eastAsia="zh-CN"/>
        </w:rPr>
        <w:t xml:space="preserve">From our perspective, providing service area information for each MBS broadcast session of neighbour cells has some benefit for reselection and handover, it could help UE to select a more suitable cell to continue receiving the same broadcast services. As known, MCCH may also </w:t>
      </w:r>
      <w:r>
        <w:rPr>
          <w:lang w:eastAsia="zh-CN"/>
        </w:rPr>
        <w:t>contain a list of neighbour cells providing the same broadcast MBS service(s) as provided in the current cell</w:t>
      </w:r>
      <w:r>
        <w:rPr>
          <w:rFonts w:hint="eastAsia"/>
          <w:lang w:val="en-US" w:eastAsia="zh-CN"/>
        </w:rPr>
        <w:t xml:space="preserve">. In order to guarantee service continuity better, providing service area information per neighbour cell in the </w:t>
      </w:r>
      <w:r>
        <w:rPr>
          <w:rFonts w:hint="eastAsia"/>
          <w:i/>
          <w:iCs/>
          <w:lang w:val="en-US" w:eastAsia="zh-CN"/>
        </w:rPr>
        <w:t xml:space="preserve">MBSBroadcastConfiguration </w:t>
      </w:r>
      <w:r>
        <w:rPr>
          <w:rFonts w:hint="eastAsia"/>
          <w:i w:val="0"/>
          <w:iCs w:val="0"/>
          <w:lang w:val="en-US" w:eastAsia="zh-CN"/>
        </w:rPr>
        <w:t xml:space="preserve">could help </w:t>
      </w:r>
      <w:r>
        <w:rPr>
          <w:rFonts w:hint="eastAsia"/>
          <w:lang w:val="en-US" w:eastAsia="zh-CN"/>
        </w:rPr>
        <w:t xml:space="preserve">UE to reselect or handover to a neighbour cell </w:t>
      </w:r>
      <w:r>
        <w:rPr>
          <w:rFonts w:hint="eastAsia"/>
          <w:i w:val="0"/>
          <w:iCs w:val="0"/>
          <w:lang w:val="en-US" w:eastAsia="zh-CN"/>
        </w:rPr>
        <w:t>including service areas association with the MBS session UE interested in or providing same broadcast service which UE is receiving currently</w:t>
      </w:r>
      <w:r>
        <w:rPr>
          <w:rFonts w:hint="eastAsia"/>
          <w:lang w:val="en-US" w:eastAsia="zh-CN"/>
        </w:rPr>
        <w:t xml:space="preserve">. </w:t>
      </w:r>
    </w:p>
    <w:p>
      <w:pPr>
        <w:pStyle w:val="60"/>
        <w:spacing w:after="0"/>
        <w:ind w:left="0" w:firstLine="0"/>
        <w:rPr>
          <w:rFonts w:hint="default" w:eastAsia="宋体"/>
          <w:lang w:val="en-US" w:eastAsia="zh-CN"/>
        </w:rPr>
      </w:pPr>
      <w:r>
        <w:rPr>
          <w:rFonts w:hint="eastAsia"/>
          <w:lang w:val="en-US" w:eastAsia="zh-CN"/>
        </w:rPr>
        <w:t xml:space="preserve">Then </w:t>
      </w:r>
      <w:r>
        <w:rPr>
          <w:rFonts w:hint="eastAsia"/>
          <w:i/>
          <w:iCs/>
          <w:lang w:val="en-US" w:eastAsia="zh-CN"/>
        </w:rPr>
        <w:t xml:space="preserve">SIB21 </w:t>
      </w:r>
      <w:r>
        <w:t>provide</w:t>
      </w:r>
      <w:r>
        <w:rPr>
          <w:rFonts w:hint="eastAsia" w:eastAsia="宋体"/>
          <w:lang w:val="en-US" w:eastAsia="zh-CN"/>
        </w:rPr>
        <w:t>s</w:t>
      </w:r>
      <w:r>
        <w:t xml:space="preserve"> information related to service continuity</w:t>
      </w:r>
      <w:r>
        <w:rPr>
          <w:rFonts w:hint="eastAsia" w:eastAsia="宋体"/>
          <w:lang w:val="en-US" w:eastAsia="zh-CN"/>
        </w:rPr>
        <w:t xml:space="preserve">, which </w:t>
      </w:r>
      <w:r>
        <w:rPr>
          <w:rFonts w:hint="eastAsia"/>
          <w:lang w:val="en-US" w:eastAsia="zh-CN"/>
        </w:rPr>
        <w:t xml:space="preserve">contains the mapping between the current and/or neighbouring carrier frequencies and MBS Frequency Selection Area Identities (FSAI). However, considering the different understanding about the relation between FSA and MBS session (i.e. one to one, one to multiple), to enhance service continuity, we could just consider to introduce </w:t>
      </w:r>
      <w:r>
        <w:rPr>
          <w:lang w:val="en-US" w:eastAsia="ko-KR"/>
        </w:rPr>
        <w:t>intended service area for each MBS broadcast service session</w:t>
      </w:r>
      <w:r>
        <w:rPr>
          <w:rFonts w:hint="eastAsia" w:eastAsia="宋体"/>
          <w:lang w:val="en-US" w:eastAsia="zh-CN"/>
        </w:rPr>
        <w:t xml:space="preserve"> in </w:t>
      </w:r>
      <w:r>
        <w:rPr>
          <w:rFonts w:hint="eastAsia" w:eastAsia="宋体"/>
          <w:i/>
          <w:iCs/>
          <w:lang w:val="en-US" w:eastAsia="zh-CN"/>
        </w:rPr>
        <w:t>SIB21</w:t>
      </w:r>
      <w:r>
        <w:rPr>
          <w:rFonts w:hint="eastAsia" w:eastAsia="宋体"/>
          <w:lang w:val="en-US" w:eastAsia="zh-CN"/>
        </w:rPr>
        <w:t>.</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6: It is proposed to provide intended service area within each neighbor cell for each MBS broadcast service session in </w:t>
      </w:r>
      <w:r>
        <w:rPr>
          <w:rFonts w:hint="eastAsia" w:eastAsiaTheme="minorEastAsia"/>
          <w:b/>
          <w:bCs w:val="0"/>
          <w:i/>
          <w:iCs/>
          <w:lang w:val="en-US" w:eastAsia="zh-CN"/>
        </w:rPr>
        <w:t>MBSBroadcastConfiguration</w:t>
      </w:r>
      <w:r>
        <w:rPr>
          <w:rFonts w:hint="eastAsia" w:eastAsiaTheme="minorEastAsia"/>
          <w:b/>
          <w:bCs w:val="0"/>
          <w:lang w:val="en-US" w:eastAsia="zh-CN"/>
        </w:rPr>
        <w:t>.</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7: It is proposed to provide intended service area for each MBS broadcast service session in </w:t>
      </w:r>
      <w:r>
        <w:rPr>
          <w:rFonts w:hint="eastAsia" w:eastAsiaTheme="minorEastAsia"/>
          <w:b/>
          <w:bCs w:val="0"/>
          <w:i/>
          <w:iCs/>
          <w:lang w:val="en-US" w:eastAsia="zh-CN"/>
        </w:rPr>
        <w:t>SIB21</w:t>
      </w:r>
      <w:r>
        <w:rPr>
          <w:rFonts w:hint="eastAsia" w:eastAsiaTheme="minorEastAsia"/>
          <w:b/>
          <w:bCs w:val="0"/>
          <w:lang w:val="en-US" w:eastAsia="zh-CN"/>
        </w:rPr>
        <w:t>.</w:t>
      </w:r>
    </w:p>
    <w:p>
      <w:pPr>
        <w:pStyle w:val="4"/>
        <w:bidi w:val="0"/>
        <w:rPr>
          <w:rFonts w:hint="eastAsia" w:eastAsia="宋体"/>
          <w:b/>
          <w:bCs/>
          <w:iCs/>
          <w:sz w:val="28"/>
          <w:szCs w:val="28"/>
          <w:lang w:val="en-US" w:eastAsia="zh-CN"/>
        </w:rPr>
      </w:pPr>
      <w:r>
        <w:rPr>
          <w:rFonts w:hint="eastAsia"/>
          <w:b/>
          <w:bCs/>
          <w:sz w:val="28"/>
          <w:szCs w:val="28"/>
          <w:lang w:val="en-US" w:eastAsia="zh-CN"/>
        </w:rPr>
        <w:t xml:space="preserve"> MBS interest indication</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 xml:space="preserve">We discussed that whether a R19 UE supporting the feature may initiate the MBS Interest Indication procedure when UE is entering or leaving the intended area without convergence. </w:t>
      </w:r>
    </w:p>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 xml:space="preserve">As current specification, the MBS interest indication procedure is </w:t>
      </w:r>
      <w:r>
        <w:rPr>
          <w:lang w:eastAsia="zh-CN"/>
        </w:rPr>
        <w:t xml:space="preserve">to inform the network that the UE in RRC_CONNECTED is receiving or is interested to receive MBS broadcast service(s) and/or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r>
        <w:rPr>
          <w:rFonts w:hint="eastAsia"/>
          <w:lang w:val="en-US" w:eastAsia="zh-CN"/>
        </w:rPr>
        <w:t>. And the trigger condition is described in section 5.9.4.2 of TS 38.331.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pPr>
            <w:bookmarkStart w:id="4" w:name="_Toc36810217"/>
            <w:bookmarkStart w:id="5" w:name="_Toc20487095"/>
            <w:bookmarkStart w:id="6" w:name="_Toc46483314"/>
            <w:bookmarkStart w:id="7" w:name="_Toc46482080"/>
            <w:bookmarkStart w:id="8" w:name="_Toc67997120"/>
            <w:bookmarkStart w:id="9" w:name="_Toc36566786"/>
            <w:bookmarkStart w:id="10" w:name="_Toc46480846"/>
            <w:bookmarkStart w:id="11" w:name="_Toc37082214"/>
            <w:bookmarkStart w:id="12" w:name="_Toc36939234"/>
            <w:bookmarkStart w:id="13" w:name="_Toc36846581"/>
            <w:bookmarkStart w:id="14" w:name="_Toc29343526"/>
            <w:bookmarkStart w:id="15" w:name="_Toc171467632"/>
            <w:bookmarkStart w:id="16" w:name="_Toc29342387"/>
            <w:r>
              <w:t>5.9.4.2</w:t>
            </w:r>
            <w:r>
              <w:tab/>
            </w:r>
            <w:r>
              <w:t>Initiation</w:t>
            </w:r>
            <w:bookmarkEnd w:id="4"/>
            <w:bookmarkEnd w:id="5"/>
            <w:bookmarkEnd w:id="6"/>
            <w:bookmarkEnd w:id="7"/>
            <w:bookmarkEnd w:id="8"/>
            <w:bookmarkEnd w:id="9"/>
            <w:bookmarkEnd w:id="10"/>
            <w:bookmarkEnd w:id="11"/>
            <w:bookmarkEnd w:id="12"/>
            <w:bookmarkEnd w:id="13"/>
            <w:bookmarkEnd w:id="14"/>
            <w:bookmarkEnd w:id="15"/>
            <w:bookmarkEnd w:id="16"/>
          </w:p>
          <w:p>
            <w:pPr>
              <w:rPr>
                <w:rFonts w:hint="eastAsia" w:eastAsiaTheme="minorEastAsia"/>
                <w:b/>
                <w:bCs w:val="0"/>
                <w:vertAlign w:val="baseline"/>
                <w:lang w:val="en-US" w:eastAsia="zh-CN"/>
              </w:rPr>
            </w:pPr>
            <w:r>
              <w:rPr>
                <w:highlight w:val="yellow"/>
              </w:rPr>
              <w:t>An MBS capable UE in RRC_CONNECTED may initiate the procedure</w:t>
            </w:r>
            <w:r>
              <w:t xml:space="preserv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SCell via dedicated signalling, </w:t>
            </w:r>
            <w:r>
              <w:rPr>
                <w:highlight w:val="yellow"/>
                <w:lang w:eastAsia="zh-CN"/>
              </w:rPr>
              <w:t>upon handover</w:t>
            </w:r>
            <w:r>
              <w:rPr>
                <w:lang w:eastAsia="zh-CN"/>
              </w:rPr>
              <w:t xml:space="preserve">, and upon RRC connection re-establishment, </w:t>
            </w:r>
            <w:r>
              <w:rPr>
                <w:bCs/>
              </w:rPr>
              <w:t xml:space="preserve">upon change to a PCell providing </w:t>
            </w:r>
            <w:r>
              <w:rPr>
                <w:bCs/>
                <w:i/>
              </w:rPr>
              <w:t>nonServingCellMII</w:t>
            </w:r>
            <w:r>
              <w:rPr>
                <w:bCs/>
              </w:rPr>
              <w:t xml:space="preserve"> in </w:t>
            </w:r>
            <w:r>
              <w:rPr>
                <w:bCs/>
                <w:i/>
              </w:rPr>
              <w:t>SIB1</w:t>
            </w:r>
            <w:r>
              <w:rPr>
                <w:lang w:eastAsia="zh-CN"/>
              </w:rPr>
              <w:t xml:space="preserve">, upon starting or stopping reception of MBS broadcast service on a non-serving cell, </w:t>
            </w:r>
            <w: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pPr>
        <w:pStyle w:val="60"/>
        <w:spacing w:after="0"/>
        <w:ind w:left="0" w:firstLine="0"/>
        <w:rPr>
          <w:rFonts w:hint="default" w:eastAsia="宋体"/>
          <w:b/>
          <w:bCs w:val="0"/>
          <w:lang w:val="en-US" w:eastAsia="zh-CN"/>
        </w:rPr>
      </w:pPr>
      <w:r>
        <w:rPr>
          <w:rFonts w:hint="eastAsia" w:eastAsiaTheme="minorEastAsia"/>
          <w:b w:val="0"/>
          <w:bCs/>
          <w:lang w:val="en-US" w:eastAsia="zh-CN"/>
        </w:rPr>
        <w:t xml:space="preserve">In the contribution [2], it is mentioned that initiate the MBS Interest Indication procedure when UE is entering or leaving the intended area could help NW to choose a </w:t>
      </w:r>
      <w:r>
        <w:t>suitable cell providing the broadcast service for this UE</w:t>
      </w:r>
      <w:r>
        <w:rPr>
          <w:rFonts w:hint="eastAsia" w:eastAsia="宋体"/>
          <w:lang w:val="en-US" w:eastAsia="zh-CN"/>
        </w:rPr>
        <w:t xml:space="preserve">. However, per the exiting mechanism, UE already supports to </w:t>
      </w:r>
      <w:r>
        <w:rPr>
          <w:rFonts w:hint="eastAsia" w:eastAsiaTheme="minorEastAsia"/>
          <w:b w:val="0"/>
          <w:bCs/>
          <w:lang w:val="en-US" w:eastAsia="zh-CN"/>
        </w:rPr>
        <w:t>initiate the MII procedure upon handover. And in NTN, UE is able to determine whether in the intended service area based its own GNSS and service area information provided by network. Further, network may have no acknowledge of the UE location, i.e., UE is in which service area may not be clear at network side. Then whether initiate the MII procedure could be just up to UE itself. Therefore, further enhancement for MBS Interest Indication initiation is not needed.</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8: It is proposed not to pursue that a R19 UE supporting the feature may initiate the MBS Interest Indication procedure when UE is entering or leaving the intended area.</w:t>
      </w:r>
    </w:p>
    <w:p>
      <w:pPr>
        <w:pStyle w:val="4"/>
        <w:bidi w:val="0"/>
        <w:rPr>
          <w:rFonts w:hint="default"/>
          <w:b/>
          <w:bCs/>
          <w:lang w:val="en-US" w:eastAsia="zh-CN"/>
        </w:rPr>
      </w:pPr>
      <w:r>
        <w:rPr>
          <w:rFonts w:hint="eastAsia"/>
          <w:b/>
          <w:bCs/>
          <w:lang w:val="en-US" w:eastAsia="zh-CN"/>
        </w:rPr>
        <w:t xml:space="preserve"> Signaling format of service area</w:t>
      </w: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rPr>
          <w:rFonts w:hint="eastAsia" w:eastAsiaTheme="minorEastAsia"/>
          <w:bCs/>
          <w:lang w:val="en-US" w:eastAsia="zh-CN"/>
        </w:rPr>
      </w:pPr>
      <w:r>
        <w:rPr>
          <w:rFonts w:hint="eastAsia" w:eastAsiaTheme="minorEastAsia"/>
          <w:bCs/>
          <w:lang w:val="en-US" w:eastAsia="zh-CN"/>
        </w:rPr>
        <w:t>Regarding the service area indication, we agreed that the intended broadcast service area is defined by a geographical area represented by a (set of) referenceLocation and radius or by a (set of) polygon(s).</w:t>
      </w:r>
    </w:p>
    <w:p>
      <w:pPr>
        <w:pStyle w:val="60"/>
        <w:numPr>
          <w:ilvl w:val="0"/>
          <w:numId w:val="0"/>
        </w:numPr>
        <w:spacing w:after="0"/>
        <w:ind w:leftChars="0"/>
        <w:rPr>
          <w:rFonts w:hint="eastAsia" w:eastAsia="宋体"/>
          <w:iCs/>
          <w:lang w:val="en-US" w:eastAsia="zh-CN"/>
        </w:rPr>
      </w:pPr>
      <w:r>
        <w:rPr>
          <w:rFonts w:hint="eastAsia" w:eastAsiaTheme="minorEastAsia"/>
          <w:bCs/>
          <w:lang w:val="en-US" w:eastAsia="zh-CN"/>
        </w:rPr>
        <w:t>For the former solution</w:t>
      </w:r>
      <w:r>
        <w:rPr>
          <w:rFonts w:hint="eastAsia" w:eastAsia="宋体"/>
          <w:b w:val="0"/>
          <w:bCs w:val="0"/>
          <w:iCs/>
          <w:lang w:val="en-US" w:eastAsia="zh-CN"/>
        </w:rPr>
        <w:t xml:space="preserve">, </w:t>
      </w:r>
      <w:r>
        <w:rPr>
          <w:rFonts w:hint="eastAsia" w:eastAsiaTheme="minorEastAsia"/>
          <w:b w:val="0"/>
          <w:bCs/>
          <w:lang w:val="en-US" w:eastAsia="zh-CN"/>
        </w:rPr>
        <w:t xml:space="preserve">similar to </w:t>
      </w:r>
      <w:r>
        <w:rPr>
          <w:b w:val="0"/>
          <w:bCs/>
          <w:iCs/>
        </w:rPr>
        <w:t>TN coverage information</w:t>
      </w:r>
      <w:r>
        <w:rPr>
          <w:rFonts w:hint="eastAsia" w:eastAsia="宋体"/>
          <w:b w:val="0"/>
          <w:bCs/>
          <w:iCs/>
          <w:lang w:val="en-US" w:eastAsia="zh-CN"/>
        </w:rPr>
        <w:t xml:space="preserve"> introduced in NTN R18 to </w:t>
      </w:r>
      <w:r>
        <w:rPr>
          <w:b w:val="0"/>
          <w:bCs/>
          <w:iCs/>
        </w:rPr>
        <w:t>assist</w:t>
      </w:r>
      <w:r>
        <w:rPr>
          <w:rFonts w:hint="eastAsia" w:eastAsia="宋体"/>
          <w:b w:val="0"/>
          <w:bCs/>
          <w:iCs/>
          <w:lang w:val="en-US" w:eastAsia="zh-CN"/>
        </w:rPr>
        <w:t xml:space="preserve"> TN</w:t>
      </w:r>
      <w:r>
        <w:rPr>
          <w:b w:val="0"/>
          <w:bCs/>
          <w:iCs/>
        </w:rPr>
        <w:t xml:space="preserve"> neighbour cell measurements</w:t>
      </w:r>
      <w:r>
        <w:rPr>
          <w:rFonts w:hint="eastAsia" w:eastAsia="宋体"/>
          <w:b w:val="0"/>
          <w:bCs/>
          <w:iCs/>
          <w:lang w:val="en-US" w:eastAsia="zh-CN"/>
        </w:rPr>
        <w:t xml:space="preserve">, </w:t>
      </w:r>
      <w:r>
        <w:rPr>
          <w:rFonts w:hint="eastAsia" w:eastAsia="宋体"/>
          <w:b w:val="0"/>
          <w:bCs w:val="0"/>
          <w:iCs/>
          <w:lang w:val="en-US" w:eastAsia="zh-CN"/>
        </w:rPr>
        <w:t xml:space="preserve">we could consider to introduce a new IE (e.g. IntendedServiceAreaInfo-r19) as follows to </w:t>
      </w:r>
      <w:r>
        <w:rPr>
          <w:rFonts w:hint="eastAsia" w:eastAsia="宋体"/>
          <w:iCs/>
          <w:lang w:val="en-US" w:eastAsia="zh-CN"/>
        </w:rPr>
        <w:t>provide intended service area ID, service area reference location and distance radius information to UE. Then UE receive the broadcast service based on whether in the service area or whether interested in the service.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spacing w:after="0"/>
        <w:ind w:left="0" w:firstLine="0"/>
        <w:rPr>
          <w:rFonts w:hint="eastAsia" w:eastAsia="宋体"/>
          <w:iCs/>
          <w:lang w:val="en-US" w:eastAsia="zh-CN"/>
        </w:rPr>
      </w:pPr>
      <w:r>
        <w:rPr>
          <w:rFonts w:hint="eastAsia" w:eastAsiaTheme="minorEastAsia"/>
          <w:b/>
          <w:bCs w:val="0"/>
          <w:lang w:val="en-US" w:eastAsia="zh-CN"/>
        </w:rPr>
        <w:t>Proposal 9: For the referenceLocation + radius solution, the following new IE format could be discussed: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hint="default" w:eastAsiaTheme="minorEastAsia"/>
          <w:b/>
          <w:bCs w:val="0"/>
          <w:lang w:val="en-US" w:eastAsia="zh-CN"/>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 xml:space="preserve">Then for the latter solution (polygon), it is already captured in section 5.4 of TS 23.032.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1"/>
                <w:numId w:val="0"/>
              </w:numPr>
              <w:ind w:left="142" w:leftChars="0"/>
            </w:pPr>
            <w:bookmarkStart w:id="17" w:name="_Toc145735435"/>
            <w:r>
              <w:t>5.4</w:t>
            </w:r>
            <w:r>
              <w:tab/>
            </w:r>
            <w:r>
              <w:t>Polygon</w:t>
            </w:r>
            <w:bookmarkEnd w:id="17"/>
          </w:p>
          <w:p>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pPr>
              <w:pStyle w:val="60"/>
            </w:pPr>
            <w:r>
              <w:t>-</w:t>
            </w:r>
            <w:r>
              <w:tab/>
            </w:r>
            <w:r>
              <w:t>a connecting line shall not cross another connecting line;</w:t>
            </w:r>
          </w:p>
          <w:p>
            <w:pPr>
              <w:pStyle w:val="60"/>
            </w:pPr>
            <w:r>
              <w:t>-</w:t>
            </w:r>
            <w:r>
              <w:tab/>
            </w:r>
            <w:r>
              <w:t>two successive points must not be diametrically opposed on the ellipsoid.</w:t>
            </w:r>
          </w:p>
          <w:p>
            <w:r>
              <w:t>The described area is situated to the right of the lines with the downward direction being toward the Earth's centre and the forward direction being from a point to the next.</w:t>
            </w:r>
          </w:p>
          <w:p>
            <w:pPr>
              <w:pStyle w:val="114"/>
            </w:pPr>
            <w:r>
              <w:t>NOTE:</w:t>
            </w:r>
            <w:r>
              <w:tab/>
            </w:r>
            <w:r>
              <w:t>This definition does not permit connecting lines greater than roughly 20 000 km. If such a need arises, the polygon can be described by adding an intermediate point.</w:t>
            </w:r>
          </w:p>
          <w:p>
            <w:r>
              <w:t>Computation of geodesic lines is not simple. Approximations leading to a maximum distance between the computed line and the geodesic line of less than 3 metres are acceptable.</w:t>
            </w:r>
          </w:p>
          <w:p>
            <w:pPr>
              <w:pStyle w:val="73"/>
            </w:pPr>
            <w:bookmarkStart w:id="18" w:name="_MON_1290862438"/>
            <w:bookmarkEnd w:id="18"/>
            <w:r>
              <w:object>
                <v:shape id="_x0000_i1025" o:spt="75" type="#_x0000_t75" style="height:181.45pt;width:263.25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pPr>
              <w:pStyle w:val="74"/>
              <w:rPr>
                <w:rFonts w:hint="default" w:eastAsiaTheme="minorEastAsia"/>
                <w:b w:val="0"/>
                <w:bCs/>
                <w:vertAlign w:val="baseline"/>
                <w:lang w:val="en-US" w:eastAsia="zh-CN"/>
              </w:rPr>
            </w:pPr>
            <w:bookmarkStart w:id="19" w:name="_CRFigure3"/>
            <w:r>
              <w:t xml:space="preserve">Figure </w:t>
            </w:r>
            <w:bookmarkEnd w:id="19"/>
            <w:r>
              <w:t>3: Description of a Polygon</w:t>
            </w:r>
          </w:p>
        </w:tc>
      </w:tr>
    </w:tbl>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 xml:space="preserve">To support both the solutions, a </w:t>
      </w:r>
      <w:r>
        <w:rPr>
          <w:rFonts w:hint="default" w:eastAsiaTheme="minorEastAsia"/>
          <w:b w:val="0"/>
          <w:bCs/>
          <w:lang w:val="en-US" w:eastAsia="zh-CN"/>
        </w:rPr>
        <w:t>“</w:t>
      </w:r>
      <w:r>
        <w:rPr>
          <w:rFonts w:hint="eastAsia" w:eastAsiaTheme="minorEastAsia"/>
          <w:b w:val="0"/>
          <w:bCs/>
          <w:lang w:val="en-US" w:eastAsia="zh-CN"/>
        </w:rPr>
        <w:t>CHOICE</w:t>
      </w:r>
      <w:r>
        <w:rPr>
          <w:rFonts w:hint="default" w:eastAsiaTheme="minorEastAsia"/>
          <w:b w:val="0"/>
          <w:bCs/>
          <w:lang w:val="en-US" w:eastAsia="zh-CN"/>
        </w:rPr>
        <w:t>”</w:t>
      </w:r>
      <w:r>
        <w:rPr>
          <w:rFonts w:hint="eastAsia" w:eastAsiaTheme="minorEastAsia"/>
          <w:b w:val="0"/>
          <w:bCs/>
          <w:lang w:val="en-US" w:eastAsia="zh-CN"/>
        </w:rPr>
        <w:t xml:space="preserve"> signaling structure could be considered. And based on NW configuration to provide the intended service area information</w:t>
      </w:r>
    </w:p>
    <w:p>
      <w:pPr>
        <w:pStyle w:val="60"/>
        <w:spacing w:after="0"/>
        <w:ind w:left="0" w:leftChars="0" w:firstLine="0" w:firstLineChars="0"/>
        <w:rPr>
          <w:rFonts w:hint="default" w:ascii="Arial" w:hAnsi="Arial" w:cs="Arial" w:eastAsiaTheme="minorEastAsia"/>
          <w:b/>
          <w:bCs w:val="0"/>
          <w:lang w:val="en-US" w:eastAsia="zh-CN"/>
        </w:rPr>
      </w:pPr>
      <w:r>
        <w:rPr>
          <w:rFonts w:hint="default" w:ascii="Arial" w:hAnsi="Arial" w:cs="Arial" w:eastAsiaTheme="minorEastAsia"/>
          <w:b/>
          <w:bCs w:val="0"/>
          <w:lang w:val="en-US" w:eastAsia="zh-CN"/>
        </w:rPr>
        <w:t xml:space="preserve">Proposal </w:t>
      </w:r>
      <w:r>
        <w:rPr>
          <w:rFonts w:hint="eastAsia" w:cs="Arial" w:eastAsiaTheme="minorEastAsia"/>
          <w:b/>
          <w:bCs w:val="0"/>
          <w:lang w:val="en-US" w:eastAsia="zh-CN"/>
        </w:rPr>
        <w:t>10</w:t>
      </w:r>
      <w:r>
        <w:rPr>
          <w:rFonts w:hint="default" w:ascii="Arial" w:hAnsi="Arial" w:cs="Arial" w:eastAsiaTheme="minorEastAsia"/>
          <w:b/>
          <w:bCs w:val="0"/>
          <w:lang w:val="en-US" w:eastAsia="zh-CN"/>
        </w:rPr>
        <w:t>: It is proposed to use “CHOICE” signaling structure to support both the service area format solutions.</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w:t>
      </w:r>
      <w:r>
        <w:rPr>
          <w:rFonts w:eastAsia="宋体" w:cs="Arial"/>
          <w:sz w:val="20"/>
          <w:szCs w:val="20"/>
        </w:rPr>
        <w:t>proposals:</w:t>
      </w:r>
    </w:p>
    <w:p>
      <w:pPr>
        <w:pStyle w:val="60"/>
        <w:numPr>
          <w:ilvl w:val="0"/>
          <w:numId w:val="0"/>
        </w:numPr>
        <w:spacing w:after="0"/>
        <w:rPr>
          <w:rFonts w:hint="eastAsia" w:eastAsia="宋体"/>
          <w:b/>
          <w:bCs/>
          <w:lang w:val="en-US" w:eastAsia="zh-CN"/>
        </w:rPr>
      </w:pPr>
      <w:r>
        <w:rPr>
          <w:rFonts w:hint="eastAsia" w:eastAsia="宋体"/>
          <w:b/>
          <w:bCs/>
          <w:lang w:val="en-US" w:eastAsia="zh-CN"/>
        </w:rPr>
        <w:t>Proposal 1: Using MCCH based solution to include the intended service areas (and related IDs) information.</w:t>
      </w:r>
    </w:p>
    <w:p>
      <w:pPr>
        <w:pStyle w:val="60"/>
        <w:numPr>
          <w:ilvl w:val="0"/>
          <w:numId w:val="0"/>
        </w:numPr>
        <w:spacing w:after="0"/>
        <w:rPr>
          <w:rFonts w:hint="eastAsia" w:eastAsia="宋体"/>
          <w:b/>
          <w:bCs/>
          <w:lang w:val="en-US" w:eastAsia="zh-CN"/>
        </w:rPr>
      </w:pPr>
      <w:r>
        <w:rPr>
          <w:rFonts w:hint="eastAsia" w:eastAsia="宋体"/>
          <w:b/>
          <w:bCs/>
          <w:lang w:val="en-US" w:eastAsia="zh-CN"/>
        </w:rPr>
        <w:t>Proposal 2: A new SIB should be considered last, unless the MCCH based solution is determined unworkable.</w:t>
      </w:r>
    </w:p>
    <w:p>
      <w:pPr>
        <w:pStyle w:val="60"/>
        <w:numPr>
          <w:ilvl w:val="0"/>
          <w:numId w:val="0"/>
        </w:numPr>
        <w:spacing w:after="0"/>
        <w:rPr>
          <w:rFonts w:hint="default" w:eastAsia="宋体"/>
          <w:lang w:val="en-US" w:eastAsia="zh-CN"/>
        </w:rPr>
      </w:pPr>
      <w:r>
        <w:rPr>
          <w:rFonts w:hint="eastAsia" w:eastAsia="宋体"/>
          <w:b/>
          <w:bCs/>
          <w:lang w:val="en-US" w:eastAsia="zh-CN"/>
        </w:rPr>
        <w:t>Proposal 3: It could be also up to UE implementation to allow UE skipping MCCH re-acquisition when UE is not within intended service area of any interested broadcast service based on the intended service areas provision by network.</w:t>
      </w:r>
    </w:p>
    <w:p>
      <w:pPr>
        <w:pStyle w:val="60"/>
        <w:spacing w:after="0"/>
        <w:ind w:left="0" w:firstLine="0"/>
        <w:rPr>
          <w:rFonts w:hint="eastAsia" w:eastAsia="宋体"/>
          <w:lang w:val="en-US" w:eastAsia="zh-CN"/>
        </w:rPr>
      </w:pPr>
      <w:r>
        <w:rPr>
          <w:rFonts w:hint="eastAsia" w:eastAsiaTheme="minorEastAsia"/>
          <w:b/>
          <w:bCs w:val="0"/>
          <w:lang w:val="en-US" w:eastAsia="zh-CN"/>
        </w:rPr>
        <w:t>Proposal 4: Not to pursue the MBS service announcement solution in R19.</w:t>
      </w:r>
    </w:p>
    <w:p>
      <w:pPr>
        <w:pStyle w:val="60"/>
        <w:spacing w:after="0"/>
        <w:ind w:left="0" w:firstLine="0"/>
        <w:rPr>
          <w:rFonts w:hint="eastAsia" w:eastAsiaTheme="minorEastAsia"/>
          <w:b/>
          <w:bCs w:val="0"/>
          <w:lang w:val="en-US" w:eastAsia="zh-CN"/>
        </w:rPr>
      </w:pPr>
      <w:r>
        <w:rPr>
          <w:rFonts w:hint="eastAsia" w:eastAsia="宋体"/>
          <w:b/>
          <w:bCs/>
          <w:iCs/>
          <w:lang w:val="en-US" w:eastAsia="zh-CN"/>
        </w:rPr>
        <w:t xml:space="preserve">Proposal 5: For MCCH update due to service area information changing, </w:t>
      </w:r>
      <w:r>
        <w:rPr>
          <w:rFonts w:hint="eastAsia" w:eastAsia="宋体"/>
          <w:b/>
          <w:bCs/>
          <w:lang w:val="en-US" w:eastAsia="zh-CN"/>
        </w:rPr>
        <w:t xml:space="preserve">we could consider to leverage the existing mechanism and just add some clarification under </w:t>
      </w:r>
      <w:r>
        <w:rPr>
          <w:rFonts w:hint="default" w:eastAsia="宋体"/>
          <w:b/>
          <w:bCs/>
          <w:lang w:val="en-US" w:eastAsia="zh-CN"/>
        </w:rPr>
        <w:t>“</w:t>
      </w:r>
      <w:r>
        <w:rPr>
          <w:b/>
          <w:bCs/>
          <w:lang w:eastAsia="zh-CN"/>
        </w:rPr>
        <w:t>The LSB in the 2-bit bitmap</w:t>
      </w:r>
      <w:r>
        <w:rPr>
          <w:rFonts w:hint="default" w:eastAsia="宋体"/>
          <w:b/>
          <w:bCs/>
          <w:lang w:val="en-US" w:eastAsia="zh-CN"/>
        </w:rPr>
        <w:t>”</w:t>
      </w:r>
      <w:r>
        <w:rPr>
          <w:rFonts w:hint="eastAsia" w:eastAsia="宋体"/>
          <w:b/>
          <w:bCs/>
          <w:lang w:val="en-US" w:eastAsia="zh-CN"/>
        </w:rPr>
        <w:t xml:space="preserve"> part to include the service area information changing (e.g. service areas modification).</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6: It is proposed to provide intended service area within each neighbor cell for each MBS broadcast service session in </w:t>
      </w:r>
      <w:r>
        <w:rPr>
          <w:rFonts w:hint="eastAsia" w:eastAsiaTheme="minorEastAsia"/>
          <w:b/>
          <w:bCs w:val="0"/>
          <w:i/>
          <w:iCs/>
          <w:lang w:val="en-US" w:eastAsia="zh-CN"/>
        </w:rPr>
        <w:t>MBSBroadcastConfiguration</w:t>
      </w:r>
      <w:r>
        <w:rPr>
          <w:rFonts w:hint="eastAsia" w:eastAsiaTheme="minorEastAsia"/>
          <w:b/>
          <w:bCs w:val="0"/>
          <w:lang w:val="en-US" w:eastAsia="zh-CN"/>
        </w:rPr>
        <w:t>.</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7: It is proposed to provide intended service area for each MBS broadcast service session in </w:t>
      </w:r>
      <w:r>
        <w:rPr>
          <w:rFonts w:hint="eastAsia" w:eastAsiaTheme="minorEastAsia"/>
          <w:b/>
          <w:bCs w:val="0"/>
          <w:i/>
          <w:iCs/>
          <w:lang w:val="en-US" w:eastAsia="zh-CN"/>
        </w:rPr>
        <w:t>SIB21</w:t>
      </w:r>
      <w:r>
        <w:rPr>
          <w:rFonts w:hint="eastAsia" w:eastAsiaTheme="minorEastAsia"/>
          <w:b/>
          <w:bCs w:val="0"/>
          <w:lang w:val="en-US" w:eastAsia="zh-CN"/>
        </w:rPr>
        <w:t>.</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8: It is proposed not to pursue that a R19 UE supporting the feature may initiate the MBS Interest Indication procedure when UE is entering or leaving the intended area.</w:t>
      </w:r>
    </w:p>
    <w:p>
      <w:pPr>
        <w:pStyle w:val="60"/>
        <w:spacing w:after="0"/>
        <w:ind w:left="0" w:firstLine="0"/>
        <w:rPr>
          <w:rFonts w:hint="eastAsia" w:eastAsia="宋体"/>
          <w:iCs/>
          <w:lang w:val="en-US" w:eastAsia="zh-CN"/>
        </w:rPr>
      </w:pPr>
      <w:r>
        <w:rPr>
          <w:rFonts w:hint="eastAsia" w:eastAsiaTheme="minorEastAsia"/>
          <w:b/>
          <w:bCs w:val="0"/>
          <w:lang w:val="en-US" w:eastAsia="zh-CN"/>
        </w:rPr>
        <w:t>Proposal 9: For the referenceLocation + radius solution, the following new IE format could be discussed: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hint="eastAsia" w:eastAsiaTheme="minorEastAsia"/>
          <w:b/>
          <w:bCs w:val="0"/>
          <w:lang w:val="en-US" w:eastAsia="zh-CN"/>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bookmarkStart w:id="21" w:name="_GoBack"/>
      <w:bookmarkEnd w:id="21"/>
    </w:p>
    <w:p>
      <w:pPr>
        <w:pStyle w:val="60"/>
        <w:spacing w:after="0"/>
        <w:ind w:left="0" w:leftChars="0" w:firstLine="0" w:firstLineChars="0"/>
        <w:rPr>
          <w:rFonts w:hint="default" w:eastAsiaTheme="minorEastAsia"/>
          <w:b/>
          <w:bCs/>
          <w:lang w:val="en-US" w:eastAsia="zh-CN"/>
        </w:rPr>
      </w:pPr>
      <w:r>
        <w:rPr>
          <w:rFonts w:hint="default" w:ascii="Arial" w:hAnsi="Arial" w:cs="Arial" w:eastAsiaTheme="minorEastAsia"/>
          <w:b/>
          <w:bCs w:val="0"/>
          <w:lang w:val="en-US" w:eastAsia="zh-CN"/>
        </w:rPr>
        <w:t xml:space="preserve">Proposal </w:t>
      </w:r>
      <w:r>
        <w:rPr>
          <w:rFonts w:hint="eastAsia" w:cs="Arial" w:eastAsiaTheme="minorEastAsia"/>
          <w:b/>
          <w:bCs w:val="0"/>
          <w:lang w:val="en-US" w:eastAsia="zh-CN"/>
        </w:rPr>
        <w:t>10</w:t>
      </w:r>
      <w:r>
        <w:rPr>
          <w:rFonts w:hint="default" w:ascii="Arial" w:hAnsi="Arial" w:cs="Arial" w:eastAsiaTheme="minorEastAsia"/>
          <w:b/>
          <w:bCs w:val="0"/>
          <w:lang w:val="en-US" w:eastAsia="zh-CN"/>
        </w:rPr>
        <w:t>: It is proposed to use “CHOICE” signaling structure to support both the service area format solutions.</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pPr>
      <w:bookmarkStart w:id="20" w:name="_In-sequence_SDU_delivery"/>
      <w:bookmarkEnd w:id="20"/>
      <w:r>
        <w:rPr>
          <w:rFonts w:hint="eastAsia"/>
          <w:sz w:val="20"/>
          <w:szCs w:val="20"/>
        </w:rPr>
        <w:t>R2-127bis NR-NTN-IoT-NTN (Sergio)_ EOM</w:t>
      </w:r>
    </w:p>
    <w:p>
      <w:pPr>
        <w:pStyle w:val="27"/>
        <w:numPr>
          <w:ilvl w:val="0"/>
          <w:numId w:val="13"/>
        </w:numPr>
        <w:overflowPunct/>
        <w:autoSpaceDE/>
        <w:autoSpaceDN/>
        <w:adjustRightInd/>
        <w:spacing w:beforeLines="50" w:after="0"/>
        <w:jc w:val="left"/>
        <w:textAlignment w:val="auto"/>
      </w:pPr>
      <w:r>
        <w:rPr>
          <w:color w:val="auto"/>
          <w:u w:val="none"/>
        </w:rPr>
        <w:t>R2-2408016</w:t>
      </w:r>
      <w:r>
        <w:tab/>
      </w:r>
      <w:r>
        <w:t>Further Discussion on MBS Broadcast Provision in NTN</w:t>
      </w:r>
      <w:r>
        <w:tab/>
      </w:r>
      <w:r>
        <w:t>vivo</w:t>
      </w:r>
      <w:r>
        <w:tab/>
      </w:r>
      <w:r>
        <w:t>discussion</w:t>
      </w:r>
      <w:r>
        <w:tab/>
      </w:r>
      <w:r>
        <w:t>Rel-19</w:t>
      </w:r>
      <w:r>
        <w:tab/>
      </w:r>
      <w:r>
        <w:t>NR_NTN_Ph3-Core</w:t>
      </w:r>
    </w:p>
    <w:p>
      <w:pPr>
        <w:pStyle w:val="27"/>
        <w:numPr>
          <w:ilvl w:val="0"/>
          <w:numId w:val="0"/>
        </w:numPr>
        <w:overflowPunct/>
        <w:autoSpaceDE/>
        <w:autoSpaceDN/>
        <w:adjustRightInd/>
        <w:spacing w:beforeLines="50" w:after="0"/>
        <w:jc w:val="left"/>
        <w:textAlignment w:val="auto"/>
        <w:rPr>
          <w:rFonts w:hint="eastAsia"/>
          <w:sz w:val="20"/>
          <w:szCs w:val="20"/>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8"/>
        <w:szCs w:val="28"/>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12"/>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2F4B03"/>
    <w:rsid w:val="025F0B06"/>
    <w:rsid w:val="02744528"/>
    <w:rsid w:val="02807EB9"/>
    <w:rsid w:val="02CC0A1F"/>
    <w:rsid w:val="031C15A9"/>
    <w:rsid w:val="038E11A6"/>
    <w:rsid w:val="03A11802"/>
    <w:rsid w:val="03C0670A"/>
    <w:rsid w:val="03E752F4"/>
    <w:rsid w:val="03F47F88"/>
    <w:rsid w:val="042C4D81"/>
    <w:rsid w:val="04623E3F"/>
    <w:rsid w:val="04634577"/>
    <w:rsid w:val="04830132"/>
    <w:rsid w:val="048A5003"/>
    <w:rsid w:val="049C7A2E"/>
    <w:rsid w:val="04B2680A"/>
    <w:rsid w:val="04B403C6"/>
    <w:rsid w:val="04B93893"/>
    <w:rsid w:val="04BC080F"/>
    <w:rsid w:val="04BD1BBB"/>
    <w:rsid w:val="04F50E2F"/>
    <w:rsid w:val="05606A49"/>
    <w:rsid w:val="05983EBC"/>
    <w:rsid w:val="059F14A4"/>
    <w:rsid w:val="05A81BA7"/>
    <w:rsid w:val="05C27FC5"/>
    <w:rsid w:val="05C4403D"/>
    <w:rsid w:val="05FF6B3F"/>
    <w:rsid w:val="06261BBF"/>
    <w:rsid w:val="063B1259"/>
    <w:rsid w:val="0654248D"/>
    <w:rsid w:val="065570A3"/>
    <w:rsid w:val="06565EAE"/>
    <w:rsid w:val="069C12FF"/>
    <w:rsid w:val="072F3206"/>
    <w:rsid w:val="0750320D"/>
    <w:rsid w:val="078C1F33"/>
    <w:rsid w:val="07B959B1"/>
    <w:rsid w:val="07EF7893"/>
    <w:rsid w:val="080269D0"/>
    <w:rsid w:val="083F0917"/>
    <w:rsid w:val="0841118C"/>
    <w:rsid w:val="08604FBF"/>
    <w:rsid w:val="08AF444E"/>
    <w:rsid w:val="09133D3D"/>
    <w:rsid w:val="092D6023"/>
    <w:rsid w:val="09A7296E"/>
    <w:rsid w:val="0A1A51CE"/>
    <w:rsid w:val="0A91659F"/>
    <w:rsid w:val="0A9740DA"/>
    <w:rsid w:val="0ACC0F45"/>
    <w:rsid w:val="0AEB019B"/>
    <w:rsid w:val="0AF97CC1"/>
    <w:rsid w:val="0B3D21CC"/>
    <w:rsid w:val="0B4A1814"/>
    <w:rsid w:val="0B510D2F"/>
    <w:rsid w:val="0B6D0ACF"/>
    <w:rsid w:val="0B6F7E36"/>
    <w:rsid w:val="0BA83816"/>
    <w:rsid w:val="0BD462A5"/>
    <w:rsid w:val="0BD60B5C"/>
    <w:rsid w:val="0BFA191C"/>
    <w:rsid w:val="0C103E4C"/>
    <w:rsid w:val="0CAE5B2E"/>
    <w:rsid w:val="0CC30264"/>
    <w:rsid w:val="0CE57668"/>
    <w:rsid w:val="0D141632"/>
    <w:rsid w:val="0D524167"/>
    <w:rsid w:val="0D681ED9"/>
    <w:rsid w:val="0D6C179F"/>
    <w:rsid w:val="0D7875CA"/>
    <w:rsid w:val="0DA36DFC"/>
    <w:rsid w:val="0DDB664A"/>
    <w:rsid w:val="0DFB1CA5"/>
    <w:rsid w:val="0E891356"/>
    <w:rsid w:val="0E997EF0"/>
    <w:rsid w:val="0EC440FF"/>
    <w:rsid w:val="0EEE0218"/>
    <w:rsid w:val="0EF139CD"/>
    <w:rsid w:val="0F274C45"/>
    <w:rsid w:val="0F703294"/>
    <w:rsid w:val="0F7D081D"/>
    <w:rsid w:val="0FA67ED2"/>
    <w:rsid w:val="0FA82C80"/>
    <w:rsid w:val="0FCC0A5A"/>
    <w:rsid w:val="0FE0018D"/>
    <w:rsid w:val="10221AC0"/>
    <w:rsid w:val="106959E5"/>
    <w:rsid w:val="11043CD0"/>
    <w:rsid w:val="11060008"/>
    <w:rsid w:val="110F10D1"/>
    <w:rsid w:val="11B82D63"/>
    <w:rsid w:val="11C5063A"/>
    <w:rsid w:val="122A5353"/>
    <w:rsid w:val="123F66DC"/>
    <w:rsid w:val="124F15AD"/>
    <w:rsid w:val="12B27083"/>
    <w:rsid w:val="12BA7EC6"/>
    <w:rsid w:val="13116F0E"/>
    <w:rsid w:val="13132FCE"/>
    <w:rsid w:val="13285E79"/>
    <w:rsid w:val="132D7B2A"/>
    <w:rsid w:val="134A0035"/>
    <w:rsid w:val="135C7F4F"/>
    <w:rsid w:val="13AA287B"/>
    <w:rsid w:val="13AF3F95"/>
    <w:rsid w:val="13B17C5D"/>
    <w:rsid w:val="13E7351F"/>
    <w:rsid w:val="141B1C76"/>
    <w:rsid w:val="147E35AF"/>
    <w:rsid w:val="14863487"/>
    <w:rsid w:val="14A20FFB"/>
    <w:rsid w:val="14D97F69"/>
    <w:rsid w:val="151B0F84"/>
    <w:rsid w:val="153214F9"/>
    <w:rsid w:val="153372CB"/>
    <w:rsid w:val="154E3CB1"/>
    <w:rsid w:val="15C933D5"/>
    <w:rsid w:val="15C95ACB"/>
    <w:rsid w:val="15D62C41"/>
    <w:rsid w:val="16550D59"/>
    <w:rsid w:val="16563130"/>
    <w:rsid w:val="169343E9"/>
    <w:rsid w:val="16AA08E2"/>
    <w:rsid w:val="16C46C3F"/>
    <w:rsid w:val="16F24CA6"/>
    <w:rsid w:val="17224A41"/>
    <w:rsid w:val="173C4096"/>
    <w:rsid w:val="177E36D0"/>
    <w:rsid w:val="17FE5D44"/>
    <w:rsid w:val="180E362D"/>
    <w:rsid w:val="181A3EFC"/>
    <w:rsid w:val="18787128"/>
    <w:rsid w:val="188344FD"/>
    <w:rsid w:val="18B9619D"/>
    <w:rsid w:val="19035303"/>
    <w:rsid w:val="190B5E06"/>
    <w:rsid w:val="191242AE"/>
    <w:rsid w:val="192F184A"/>
    <w:rsid w:val="19642202"/>
    <w:rsid w:val="19AC5C42"/>
    <w:rsid w:val="19BC1AC5"/>
    <w:rsid w:val="1A330485"/>
    <w:rsid w:val="1A495354"/>
    <w:rsid w:val="1AC35E60"/>
    <w:rsid w:val="1AEF5DBD"/>
    <w:rsid w:val="1B181180"/>
    <w:rsid w:val="1B363FB3"/>
    <w:rsid w:val="1B423649"/>
    <w:rsid w:val="1B9978DA"/>
    <w:rsid w:val="1BA24967"/>
    <w:rsid w:val="1BAD2CF8"/>
    <w:rsid w:val="1BD95F94"/>
    <w:rsid w:val="1BDA5141"/>
    <w:rsid w:val="1C2D3246"/>
    <w:rsid w:val="1C3D1CD0"/>
    <w:rsid w:val="1C530B55"/>
    <w:rsid w:val="1C5E7298"/>
    <w:rsid w:val="1C7D75F7"/>
    <w:rsid w:val="1C851710"/>
    <w:rsid w:val="1CCE570D"/>
    <w:rsid w:val="1CED21E6"/>
    <w:rsid w:val="1D2F5A54"/>
    <w:rsid w:val="1D774AF0"/>
    <w:rsid w:val="1DA0306B"/>
    <w:rsid w:val="1DDD518B"/>
    <w:rsid w:val="1DEE0D18"/>
    <w:rsid w:val="1E3072B7"/>
    <w:rsid w:val="1E403C53"/>
    <w:rsid w:val="1E4A0692"/>
    <w:rsid w:val="1E4E2483"/>
    <w:rsid w:val="1EA20D4A"/>
    <w:rsid w:val="1EAA6DF5"/>
    <w:rsid w:val="1EB666E9"/>
    <w:rsid w:val="1EDC0AC9"/>
    <w:rsid w:val="1EFF6958"/>
    <w:rsid w:val="1F0A1209"/>
    <w:rsid w:val="1F66136E"/>
    <w:rsid w:val="1F734328"/>
    <w:rsid w:val="1FA0723F"/>
    <w:rsid w:val="1FA11974"/>
    <w:rsid w:val="1FAC7B28"/>
    <w:rsid w:val="1FB62E02"/>
    <w:rsid w:val="200E7F8F"/>
    <w:rsid w:val="20203DE8"/>
    <w:rsid w:val="2031215C"/>
    <w:rsid w:val="20955704"/>
    <w:rsid w:val="209A3575"/>
    <w:rsid w:val="20A34269"/>
    <w:rsid w:val="20B50905"/>
    <w:rsid w:val="20D14CCB"/>
    <w:rsid w:val="20DB7C51"/>
    <w:rsid w:val="20E9518E"/>
    <w:rsid w:val="211313D4"/>
    <w:rsid w:val="21533CE4"/>
    <w:rsid w:val="21A07FD7"/>
    <w:rsid w:val="21F86645"/>
    <w:rsid w:val="22721758"/>
    <w:rsid w:val="22890610"/>
    <w:rsid w:val="22CC7A7A"/>
    <w:rsid w:val="22DE0319"/>
    <w:rsid w:val="234E7F45"/>
    <w:rsid w:val="236420CF"/>
    <w:rsid w:val="236E7D5F"/>
    <w:rsid w:val="23940028"/>
    <w:rsid w:val="23987155"/>
    <w:rsid w:val="239E787E"/>
    <w:rsid w:val="23D77568"/>
    <w:rsid w:val="23FC31DD"/>
    <w:rsid w:val="241418CB"/>
    <w:rsid w:val="243463DC"/>
    <w:rsid w:val="244D3D76"/>
    <w:rsid w:val="245B6D34"/>
    <w:rsid w:val="24955F0E"/>
    <w:rsid w:val="249A587D"/>
    <w:rsid w:val="24A5731F"/>
    <w:rsid w:val="24B5447A"/>
    <w:rsid w:val="24B82068"/>
    <w:rsid w:val="24DB5298"/>
    <w:rsid w:val="24E10292"/>
    <w:rsid w:val="24F55D6D"/>
    <w:rsid w:val="25043CC9"/>
    <w:rsid w:val="2513137F"/>
    <w:rsid w:val="25145D5F"/>
    <w:rsid w:val="25281B00"/>
    <w:rsid w:val="2596743F"/>
    <w:rsid w:val="25B04847"/>
    <w:rsid w:val="2604776B"/>
    <w:rsid w:val="263D31A3"/>
    <w:rsid w:val="265756B5"/>
    <w:rsid w:val="26AB2557"/>
    <w:rsid w:val="27306E68"/>
    <w:rsid w:val="275E7C63"/>
    <w:rsid w:val="27606908"/>
    <w:rsid w:val="277E77C1"/>
    <w:rsid w:val="278A496D"/>
    <w:rsid w:val="27AB2710"/>
    <w:rsid w:val="27D72CC4"/>
    <w:rsid w:val="27D7484C"/>
    <w:rsid w:val="27E26E59"/>
    <w:rsid w:val="2809471B"/>
    <w:rsid w:val="28255BB3"/>
    <w:rsid w:val="285478B9"/>
    <w:rsid w:val="287D5E75"/>
    <w:rsid w:val="289579C1"/>
    <w:rsid w:val="289C45C3"/>
    <w:rsid w:val="28AD0B61"/>
    <w:rsid w:val="28ED12AF"/>
    <w:rsid w:val="291D6E54"/>
    <w:rsid w:val="291F7D02"/>
    <w:rsid w:val="292348C0"/>
    <w:rsid w:val="29423CBE"/>
    <w:rsid w:val="29462B04"/>
    <w:rsid w:val="2961737A"/>
    <w:rsid w:val="298F21F5"/>
    <w:rsid w:val="29991D1E"/>
    <w:rsid w:val="29C43864"/>
    <w:rsid w:val="29CD3FA9"/>
    <w:rsid w:val="29CE31A3"/>
    <w:rsid w:val="2A46578A"/>
    <w:rsid w:val="2A4B23FB"/>
    <w:rsid w:val="2A606520"/>
    <w:rsid w:val="2AC82235"/>
    <w:rsid w:val="2AF0613E"/>
    <w:rsid w:val="2B083F92"/>
    <w:rsid w:val="2B542A45"/>
    <w:rsid w:val="2B697187"/>
    <w:rsid w:val="2B8C2CC8"/>
    <w:rsid w:val="2BB75019"/>
    <w:rsid w:val="2BD870AF"/>
    <w:rsid w:val="2BE54292"/>
    <w:rsid w:val="2C13051C"/>
    <w:rsid w:val="2CDA5BC3"/>
    <w:rsid w:val="2CF34F2F"/>
    <w:rsid w:val="2CF51ED1"/>
    <w:rsid w:val="2CFA23BD"/>
    <w:rsid w:val="2D3B228A"/>
    <w:rsid w:val="2D5923F4"/>
    <w:rsid w:val="2D613D2F"/>
    <w:rsid w:val="2D76510F"/>
    <w:rsid w:val="2DB6192E"/>
    <w:rsid w:val="2DBD7048"/>
    <w:rsid w:val="2DF1447C"/>
    <w:rsid w:val="2DF36570"/>
    <w:rsid w:val="2E1A4203"/>
    <w:rsid w:val="2E2831C7"/>
    <w:rsid w:val="2EB775B3"/>
    <w:rsid w:val="2EE85B84"/>
    <w:rsid w:val="2EF94A67"/>
    <w:rsid w:val="2F775104"/>
    <w:rsid w:val="2F931D55"/>
    <w:rsid w:val="300D4E4E"/>
    <w:rsid w:val="302454E4"/>
    <w:rsid w:val="302E07AF"/>
    <w:rsid w:val="303939AD"/>
    <w:rsid w:val="30946552"/>
    <w:rsid w:val="30AF76EE"/>
    <w:rsid w:val="30CB47BF"/>
    <w:rsid w:val="310423D7"/>
    <w:rsid w:val="311B0263"/>
    <w:rsid w:val="319D3380"/>
    <w:rsid w:val="31AB31CF"/>
    <w:rsid w:val="31AE180F"/>
    <w:rsid w:val="31B46F9B"/>
    <w:rsid w:val="31C658F3"/>
    <w:rsid w:val="3255145A"/>
    <w:rsid w:val="327824D0"/>
    <w:rsid w:val="32903B78"/>
    <w:rsid w:val="32A942B0"/>
    <w:rsid w:val="32B34978"/>
    <w:rsid w:val="32F13120"/>
    <w:rsid w:val="3319216C"/>
    <w:rsid w:val="333663A2"/>
    <w:rsid w:val="33D57B46"/>
    <w:rsid w:val="33E26367"/>
    <w:rsid w:val="33F614DE"/>
    <w:rsid w:val="3438527B"/>
    <w:rsid w:val="345C09B1"/>
    <w:rsid w:val="34666505"/>
    <w:rsid w:val="34914DCA"/>
    <w:rsid w:val="34A672EE"/>
    <w:rsid w:val="34AD3848"/>
    <w:rsid w:val="34C6331F"/>
    <w:rsid w:val="34D545BA"/>
    <w:rsid w:val="34D95BB9"/>
    <w:rsid w:val="3507028C"/>
    <w:rsid w:val="350A225C"/>
    <w:rsid w:val="351A4329"/>
    <w:rsid w:val="35237C4E"/>
    <w:rsid w:val="353B26A5"/>
    <w:rsid w:val="355965DA"/>
    <w:rsid w:val="361C2353"/>
    <w:rsid w:val="3635547B"/>
    <w:rsid w:val="36746B61"/>
    <w:rsid w:val="36A9407C"/>
    <w:rsid w:val="36CA291A"/>
    <w:rsid w:val="36DE72D5"/>
    <w:rsid w:val="36FA1D41"/>
    <w:rsid w:val="372D051E"/>
    <w:rsid w:val="374956F3"/>
    <w:rsid w:val="37875B1D"/>
    <w:rsid w:val="378E04E4"/>
    <w:rsid w:val="3799690B"/>
    <w:rsid w:val="37C2178A"/>
    <w:rsid w:val="37CA7D58"/>
    <w:rsid w:val="37CD35DE"/>
    <w:rsid w:val="37D16521"/>
    <w:rsid w:val="37F50C06"/>
    <w:rsid w:val="380411EC"/>
    <w:rsid w:val="38084F02"/>
    <w:rsid w:val="3829480D"/>
    <w:rsid w:val="383529C2"/>
    <w:rsid w:val="383C5BD0"/>
    <w:rsid w:val="38536D3F"/>
    <w:rsid w:val="38651BE9"/>
    <w:rsid w:val="38677D19"/>
    <w:rsid w:val="388008B3"/>
    <w:rsid w:val="388727CC"/>
    <w:rsid w:val="389727CC"/>
    <w:rsid w:val="38A0684E"/>
    <w:rsid w:val="38E06D41"/>
    <w:rsid w:val="38E63823"/>
    <w:rsid w:val="38E72762"/>
    <w:rsid w:val="39024B57"/>
    <w:rsid w:val="391E61C3"/>
    <w:rsid w:val="392853F4"/>
    <w:rsid w:val="3955089B"/>
    <w:rsid w:val="395F7742"/>
    <w:rsid w:val="39E7178F"/>
    <w:rsid w:val="3A06167E"/>
    <w:rsid w:val="3A6F42D5"/>
    <w:rsid w:val="3A82293D"/>
    <w:rsid w:val="3A9E2AD9"/>
    <w:rsid w:val="3B5B04B2"/>
    <w:rsid w:val="3B9A5007"/>
    <w:rsid w:val="3BC23F1A"/>
    <w:rsid w:val="3C223052"/>
    <w:rsid w:val="3C5503C9"/>
    <w:rsid w:val="3CC50AEE"/>
    <w:rsid w:val="3CD8469E"/>
    <w:rsid w:val="3CF36A2A"/>
    <w:rsid w:val="3D2E7413"/>
    <w:rsid w:val="3D515C28"/>
    <w:rsid w:val="3D966C01"/>
    <w:rsid w:val="3DA51E2F"/>
    <w:rsid w:val="3DB43891"/>
    <w:rsid w:val="3DBB3CB3"/>
    <w:rsid w:val="3DDE328E"/>
    <w:rsid w:val="3E4864CC"/>
    <w:rsid w:val="3EBD31E6"/>
    <w:rsid w:val="3EBF28AB"/>
    <w:rsid w:val="3EC01B26"/>
    <w:rsid w:val="3ED15E5F"/>
    <w:rsid w:val="3EE00B8B"/>
    <w:rsid w:val="3F544C17"/>
    <w:rsid w:val="3F56446E"/>
    <w:rsid w:val="3F961152"/>
    <w:rsid w:val="3FAC0319"/>
    <w:rsid w:val="3FB079DC"/>
    <w:rsid w:val="3FBC4178"/>
    <w:rsid w:val="401A56F9"/>
    <w:rsid w:val="40325295"/>
    <w:rsid w:val="403847C1"/>
    <w:rsid w:val="40464411"/>
    <w:rsid w:val="408C6E25"/>
    <w:rsid w:val="40A97F0E"/>
    <w:rsid w:val="40B542D9"/>
    <w:rsid w:val="40CA29DC"/>
    <w:rsid w:val="40D86268"/>
    <w:rsid w:val="40F82E28"/>
    <w:rsid w:val="40FB12FD"/>
    <w:rsid w:val="41077C44"/>
    <w:rsid w:val="41471FA6"/>
    <w:rsid w:val="41585AC3"/>
    <w:rsid w:val="415B4270"/>
    <w:rsid w:val="41B34CCB"/>
    <w:rsid w:val="41D00C05"/>
    <w:rsid w:val="41DB1250"/>
    <w:rsid w:val="420610DF"/>
    <w:rsid w:val="42470693"/>
    <w:rsid w:val="42784F38"/>
    <w:rsid w:val="42845375"/>
    <w:rsid w:val="429544E1"/>
    <w:rsid w:val="429A669A"/>
    <w:rsid w:val="42CE6929"/>
    <w:rsid w:val="42F71CEC"/>
    <w:rsid w:val="43CC0F65"/>
    <w:rsid w:val="43E6767C"/>
    <w:rsid w:val="443B107F"/>
    <w:rsid w:val="443B1152"/>
    <w:rsid w:val="44B14540"/>
    <w:rsid w:val="44BA7E1E"/>
    <w:rsid w:val="44BE79C3"/>
    <w:rsid w:val="453A44C6"/>
    <w:rsid w:val="45CA31DA"/>
    <w:rsid w:val="45EC6821"/>
    <w:rsid w:val="45F303D0"/>
    <w:rsid w:val="464004CF"/>
    <w:rsid w:val="46544A59"/>
    <w:rsid w:val="46B51FCF"/>
    <w:rsid w:val="46BA0199"/>
    <w:rsid w:val="46D74DAF"/>
    <w:rsid w:val="47062A9A"/>
    <w:rsid w:val="47993F84"/>
    <w:rsid w:val="47B83FA1"/>
    <w:rsid w:val="47BD666C"/>
    <w:rsid w:val="480A17DC"/>
    <w:rsid w:val="481C5974"/>
    <w:rsid w:val="4846796F"/>
    <w:rsid w:val="487A095F"/>
    <w:rsid w:val="48B93CAD"/>
    <w:rsid w:val="48C621F7"/>
    <w:rsid w:val="48D31947"/>
    <w:rsid w:val="49495158"/>
    <w:rsid w:val="49AA66DF"/>
    <w:rsid w:val="49EF1DDD"/>
    <w:rsid w:val="4A17114C"/>
    <w:rsid w:val="4A284A82"/>
    <w:rsid w:val="4A662E1D"/>
    <w:rsid w:val="4A7E32B4"/>
    <w:rsid w:val="4A99715A"/>
    <w:rsid w:val="4AC00034"/>
    <w:rsid w:val="4AE7217A"/>
    <w:rsid w:val="4AFC533A"/>
    <w:rsid w:val="4B1367B9"/>
    <w:rsid w:val="4B316DE7"/>
    <w:rsid w:val="4BA23F51"/>
    <w:rsid w:val="4C0C1950"/>
    <w:rsid w:val="4C353BC7"/>
    <w:rsid w:val="4C36309A"/>
    <w:rsid w:val="4C5D54D6"/>
    <w:rsid w:val="4C7A41E4"/>
    <w:rsid w:val="4C814518"/>
    <w:rsid w:val="4C91315E"/>
    <w:rsid w:val="4CAD0872"/>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7F20AA"/>
    <w:rsid w:val="4F873909"/>
    <w:rsid w:val="4FF617D6"/>
    <w:rsid w:val="4FF649F9"/>
    <w:rsid w:val="503A669C"/>
    <w:rsid w:val="506B2DFC"/>
    <w:rsid w:val="50A4438F"/>
    <w:rsid w:val="50E64646"/>
    <w:rsid w:val="511F1374"/>
    <w:rsid w:val="51545711"/>
    <w:rsid w:val="516A6684"/>
    <w:rsid w:val="518C6DB2"/>
    <w:rsid w:val="51CB2856"/>
    <w:rsid w:val="51E04809"/>
    <w:rsid w:val="51E261D3"/>
    <w:rsid w:val="5216635A"/>
    <w:rsid w:val="521C2FA3"/>
    <w:rsid w:val="525B1064"/>
    <w:rsid w:val="52BB0D49"/>
    <w:rsid w:val="531C2067"/>
    <w:rsid w:val="532C26FC"/>
    <w:rsid w:val="53322A76"/>
    <w:rsid w:val="539B3C5F"/>
    <w:rsid w:val="53C27D6A"/>
    <w:rsid w:val="53C54AA3"/>
    <w:rsid w:val="54324E5A"/>
    <w:rsid w:val="54A648D1"/>
    <w:rsid w:val="54E44ED6"/>
    <w:rsid w:val="55571991"/>
    <w:rsid w:val="55744E89"/>
    <w:rsid w:val="55E03256"/>
    <w:rsid w:val="56132360"/>
    <w:rsid w:val="566931AC"/>
    <w:rsid w:val="567760E3"/>
    <w:rsid w:val="569D2402"/>
    <w:rsid w:val="56B85F16"/>
    <w:rsid w:val="56BB4BB7"/>
    <w:rsid w:val="56F374FB"/>
    <w:rsid w:val="570E7622"/>
    <w:rsid w:val="57796E51"/>
    <w:rsid w:val="57E80074"/>
    <w:rsid w:val="584D19EF"/>
    <w:rsid w:val="588D3796"/>
    <w:rsid w:val="5936030B"/>
    <w:rsid w:val="59620232"/>
    <w:rsid w:val="597E312B"/>
    <w:rsid w:val="597F641F"/>
    <w:rsid w:val="59A00F56"/>
    <w:rsid w:val="59B24039"/>
    <w:rsid w:val="5A0B02FC"/>
    <w:rsid w:val="5A31005C"/>
    <w:rsid w:val="5A32467E"/>
    <w:rsid w:val="5A3C4744"/>
    <w:rsid w:val="5AD27471"/>
    <w:rsid w:val="5AE910B8"/>
    <w:rsid w:val="5B0E20D9"/>
    <w:rsid w:val="5B130E01"/>
    <w:rsid w:val="5B8D1AC1"/>
    <w:rsid w:val="5BA3592C"/>
    <w:rsid w:val="5C57280E"/>
    <w:rsid w:val="5C610721"/>
    <w:rsid w:val="5C617A21"/>
    <w:rsid w:val="5C8B6FF1"/>
    <w:rsid w:val="5C8C3D5F"/>
    <w:rsid w:val="5CC33510"/>
    <w:rsid w:val="5CF44D34"/>
    <w:rsid w:val="5CFE4143"/>
    <w:rsid w:val="5D3B1572"/>
    <w:rsid w:val="5D99368A"/>
    <w:rsid w:val="5DD60701"/>
    <w:rsid w:val="5DFC3A60"/>
    <w:rsid w:val="5E204AD7"/>
    <w:rsid w:val="5E445CC2"/>
    <w:rsid w:val="5E4C6102"/>
    <w:rsid w:val="5E6D4BC0"/>
    <w:rsid w:val="5ED06481"/>
    <w:rsid w:val="5EEA5BA3"/>
    <w:rsid w:val="5F3E69CE"/>
    <w:rsid w:val="5F48763E"/>
    <w:rsid w:val="5FB93853"/>
    <w:rsid w:val="6009519E"/>
    <w:rsid w:val="600E1625"/>
    <w:rsid w:val="60581636"/>
    <w:rsid w:val="60AD4549"/>
    <w:rsid w:val="60AD5F5F"/>
    <w:rsid w:val="60AE50AE"/>
    <w:rsid w:val="60DD501D"/>
    <w:rsid w:val="60E30438"/>
    <w:rsid w:val="60F9202B"/>
    <w:rsid w:val="612D3C7B"/>
    <w:rsid w:val="61826F89"/>
    <w:rsid w:val="61B51D80"/>
    <w:rsid w:val="623E2101"/>
    <w:rsid w:val="62816806"/>
    <w:rsid w:val="62947A1C"/>
    <w:rsid w:val="62CD6DE1"/>
    <w:rsid w:val="62D31602"/>
    <w:rsid w:val="62DB67DA"/>
    <w:rsid w:val="62E437A2"/>
    <w:rsid w:val="62E70A4E"/>
    <w:rsid w:val="62FD4A9D"/>
    <w:rsid w:val="632C6FC4"/>
    <w:rsid w:val="633D546F"/>
    <w:rsid w:val="634169FD"/>
    <w:rsid w:val="634B3FF6"/>
    <w:rsid w:val="637F2D00"/>
    <w:rsid w:val="63C723DB"/>
    <w:rsid w:val="63E523E7"/>
    <w:rsid w:val="6414316C"/>
    <w:rsid w:val="64182E8A"/>
    <w:rsid w:val="64460ECC"/>
    <w:rsid w:val="644F5E22"/>
    <w:rsid w:val="64681DB1"/>
    <w:rsid w:val="646F5052"/>
    <w:rsid w:val="64902A98"/>
    <w:rsid w:val="64B410B0"/>
    <w:rsid w:val="64D843A5"/>
    <w:rsid w:val="65115EE0"/>
    <w:rsid w:val="652B7ADD"/>
    <w:rsid w:val="65421C09"/>
    <w:rsid w:val="662C40AE"/>
    <w:rsid w:val="663B46C9"/>
    <w:rsid w:val="663F30CF"/>
    <w:rsid w:val="6698220E"/>
    <w:rsid w:val="669D2FFE"/>
    <w:rsid w:val="66B1186C"/>
    <w:rsid w:val="66E640D9"/>
    <w:rsid w:val="673A01AF"/>
    <w:rsid w:val="67413BF6"/>
    <w:rsid w:val="674212A6"/>
    <w:rsid w:val="6755359A"/>
    <w:rsid w:val="675C2222"/>
    <w:rsid w:val="675D2C2F"/>
    <w:rsid w:val="677905CE"/>
    <w:rsid w:val="677A5055"/>
    <w:rsid w:val="67971B0A"/>
    <w:rsid w:val="67A7418D"/>
    <w:rsid w:val="67BF57A3"/>
    <w:rsid w:val="67D27C62"/>
    <w:rsid w:val="67DF6978"/>
    <w:rsid w:val="68412A6B"/>
    <w:rsid w:val="69193357"/>
    <w:rsid w:val="694E04D2"/>
    <w:rsid w:val="698044A5"/>
    <w:rsid w:val="6A114647"/>
    <w:rsid w:val="6A510F7A"/>
    <w:rsid w:val="6A6B1CE7"/>
    <w:rsid w:val="6A7E1356"/>
    <w:rsid w:val="6AA67E64"/>
    <w:rsid w:val="6B0D712F"/>
    <w:rsid w:val="6B28575B"/>
    <w:rsid w:val="6B3A23C3"/>
    <w:rsid w:val="6BA11D8E"/>
    <w:rsid w:val="6BE4485D"/>
    <w:rsid w:val="6BEE2278"/>
    <w:rsid w:val="6C3A3E01"/>
    <w:rsid w:val="6C3B431E"/>
    <w:rsid w:val="6C3D5D33"/>
    <w:rsid w:val="6C5F105B"/>
    <w:rsid w:val="6C705B75"/>
    <w:rsid w:val="6C857DA8"/>
    <w:rsid w:val="6C941026"/>
    <w:rsid w:val="6CA548BC"/>
    <w:rsid w:val="6CB665FF"/>
    <w:rsid w:val="6CC1587C"/>
    <w:rsid w:val="6CEF50C6"/>
    <w:rsid w:val="6D0646EB"/>
    <w:rsid w:val="6D2B74AA"/>
    <w:rsid w:val="6D697BC3"/>
    <w:rsid w:val="6D7111BC"/>
    <w:rsid w:val="6DCA5CB9"/>
    <w:rsid w:val="6DD453D5"/>
    <w:rsid w:val="6DF93947"/>
    <w:rsid w:val="6E280F38"/>
    <w:rsid w:val="6E472A13"/>
    <w:rsid w:val="6E8A21F7"/>
    <w:rsid w:val="6EA410B2"/>
    <w:rsid w:val="6ED837EB"/>
    <w:rsid w:val="6EE576BA"/>
    <w:rsid w:val="6F01162E"/>
    <w:rsid w:val="6F034B31"/>
    <w:rsid w:val="6F2867BD"/>
    <w:rsid w:val="6F44559B"/>
    <w:rsid w:val="6F5E7C46"/>
    <w:rsid w:val="6F8B0168"/>
    <w:rsid w:val="6FC43175"/>
    <w:rsid w:val="6FF731B6"/>
    <w:rsid w:val="703A2630"/>
    <w:rsid w:val="709C594C"/>
    <w:rsid w:val="70DE4029"/>
    <w:rsid w:val="71231AF4"/>
    <w:rsid w:val="7185216A"/>
    <w:rsid w:val="718F1BBF"/>
    <w:rsid w:val="71CB0DCD"/>
    <w:rsid w:val="71D05F49"/>
    <w:rsid w:val="71ED7728"/>
    <w:rsid w:val="726760BC"/>
    <w:rsid w:val="72CC70E6"/>
    <w:rsid w:val="72D65439"/>
    <w:rsid w:val="73090FE2"/>
    <w:rsid w:val="73265607"/>
    <w:rsid w:val="73A60CBE"/>
    <w:rsid w:val="73AA4E32"/>
    <w:rsid w:val="73D5144B"/>
    <w:rsid w:val="73E40269"/>
    <w:rsid w:val="73F82EA2"/>
    <w:rsid w:val="7435596C"/>
    <w:rsid w:val="745F4234"/>
    <w:rsid w:val="746C72EA"/>
    <w:rsid w:val="74722C9A"/>
    <w:rsid w:val="7475358D"/>
    <w:rsid w:val="74782DEF"/>
    <w:rsid w:val="747E452E"/>
    <w:rsid w:val="74FA5A4A"/>
    <w:rsid w:val="755F161D"/>
    <w:rsid w:val="758576AD"/>
    <w:rsid w:val="75884210"/>
    <w:rsid w:val="75BD4A84"/>
    <w:rsid w:val="75D454CE"/>
    <w:rsid w:val="75EA7003"/>
    <w:rsid w:val="760D56E2"/>
    <w:rsid w:val="76260D51"/>
    <w:rsid w:val="76EE218C"/>
    <w:rsid w:val="77250641"/>
    <w:rsid w:val="772E0B03"/>
    <w:rsid w:val="778A542A"/>
    <w:rsid w:val="77C177F8"/>
    <w:rsid w:val="77CF3E4F"/>
    <w:rsid w:val="77D309AE"/>
    <w:rsid w:val="77EF5E51"/>
    <w:rsid w:val="77F65DDE"/>
    <w:rsid w:val="78EF6DB3"/>
    <w:rsid w:val="79214247"/>
    <w:rsid w:val="792718FA"/>
    <w:rsid w:val="79332F0B"/>
    <w:rsid w:val="797F74A2"/>
    <w:rsid w:val="798E18C9"/>
    <w:rsid w:val="799835AD"/>
    <w:rsid w:val="79A56E86"/>
    <w:rsid w:val="79BB51B5"/>
    <w:rsid w:val="79C11BD2"/>
    <w:rsid w:val="79E8078D"/>
    <w:rsid w:val="7A3422EE"/>
    <w:rsid w:val="7A4774F3"/>
    <w:rsid w:val="7A556E34"/>
    <w:rsid w:val="7A634533"/>
    <w:rsid w:val="7AA678C6"/>
    <w:rsid w:val="7ACF4407"/>
    <w:rsid w:val="7B113087"/>
    <w:rsid w:val="7B462CD2"/>
    <w:rsid w:val="7B5441DD"/>
    <w:rsid w:val="7B902188"/>
    <w:rsid w:val="7B9E2E7D"/>
    <w:rsid w:val="7BCD1523"/>
    <w:rsid w:val="7BEA35A6"/>
    <w:rsid w:val="7C027B82"/>
    <w:rsid w:val="7C050B07"/>
    <w:rsid w:val="7C9E7A01"/>
    <w:rsid w:val="7CB80A66"/>
    <w:rsid w:val="7CB8413B"/>
    <w:rsid w:val="7CF92699"/>
    <w:rsid w:val="7D2E186E"/>
    <w:rsid w:val="7D3B525E"/>
    <w:rsid w:val="7D8F4D8B"/>
    <w:rsid w:val="7DA8331F"/>
    <w:rsid w:val="7DBA4407"/>
    <w:rsid w:val="7DC4445F"/>
    <w:rsid w:val="7DD14D63"/>
    <w:rsid w:val="7E0773D0"/>
    <w:rsid w:val="7E431A61"/>
    <w:rsid w:val="7E5D66DD"/>
    <w:rsid w:val="7E734104"/>
    <w:rsid w:val="7E8C0561"/>
    <w:rsid w:val="7EAB2A75"/>
    <w:rsid w:val="7EBA0FF5"/>
    <w:rsid w:val="7ED317FE"/>
    <w:rsid w:val="7EEE5FCC"/>
    <w:rsid w:val="7F0A41FB"/>
    <w:rsid w:val="7F180AE2"/>
    <w:rsid w:val="7F1B2068"/>
    <w:rsid w:val="7F2E279D"/>
    <w:rsid w:val="7F5130BD"/>
    <w:rsid w:val="7F60044C"/>
    <w:rsid w:val="7F7054DF"/>
    <w:rsid w:val="7F880165"/>
    <w:rsid w:val="7F965978"/>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2024-11-08T01:43:06Z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982D4C2898DD4417BD6B621871CB95B7</vt:lpwstr>
  </property>
</Properties>
</file>